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515" w:rsidRPr="00AF7630" w:rsidRDefault="004C4515" w:rsidP="00247329">
      <w:pPr>
        <w:spacing w:after="0" w:line="240" w:lineRule="auto"/>
        <w:jc w:val="center"/>
        <w:rPr>
          <w:rFonts w:ascii="Times New Roman" w:eastAsia="Times New Roman" w:hAnsi="Times New Roman" w:cs="Times New Roman"/>
          <w:b/>
          <w:sz w:val="24"/>
          <w:szCs w:val="24"/>
        </w:rPr>
      </w:pPr>
      <w:bookmarkStart w:id="0" w:name="_GoBack"/>
      <w:bookmarkEnd w:id="0"/>
      <w:r w:rsidRPr="00AF7630">
        <w:rPr>
          <w:rFonts w:ascii="Times New Roman" w:eastAsia="Times New Roman" w:hAnsi="Times New Roman" w:cs="Times New Roman"/>
          <w:b/>
          <w:sz w:val="24"/>
          <w:szCs w:val="24"/>
        </w:rPr>
        <w:t xml:space="preserve">Bảng tổng hợp, tiếp thu, giải trình ý kiến tham gia của các </w:t>
      </w:r>
      <w:r w:rsidR="00AF7630" w:rsidRPr="00AF7630">
        <w:rPr>
          <w:rFonts w:ascii="Times New Roman" w:eastAsia="Times New Roman" w:hAnsi="Times New Roman" w:cs="Times New Roman"/>
          <w:b/>
          <w:sz w:val="24"/>
          <w:szCs w:val="24"/>
        </w:rPr>
        <w:t>cơ quan, tổ chức</w:t>
      </w:r>
      <w:r w:rsidRPr="00AF7630">
        <w:rPr>
          <w:rFonts w:ascii="Times New Roman" w:eastAsia="Times New Roman" w:hAnsi="Times New Roman" w:cs="Times New Roman"/>
          <w:b/>
          <w:sz w:val="24"/>
          <w:szCs w:val="24"/>
        </w:rPr>
        <w:t xml:space="preserve"> đối với Dự thảo Nghị định về trích lập và việc sử dụng</w:t>
      </w:r>
    </w:p>
    <w:p w:rsidR="004C4515" w:rsidRPr="00AF7630" w:rsidRDefault="004C4515" w:rsidP="00247329">
      <w:pPr>
        <w:spacing w:after="0" w:line="240" w:lineRule="auto"/>
        <w:jc w:val="center"/>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dự phòng để xử lý rủi ro và trường hợp tổ chức tín dụng phân bổ lãi phải thu phải thoái</w:t>
      </w:r>
    </w:p>
    <w:p w:rsidR="00501491" w:rsidRPr="00AF7630" w:rsidRDefault="00501491" w:rsidP="0001557F">
      <w:pPr>
        <w:spacing w:after="240" w:line="240" w:lineRule="auto"/>
        <w:jc w:val="center"/>
        <w:rPr>
          <w:rFonts w:ascii="Times New Roman" w:eastAsia="Times New Roman" w:hAnsi="Times New Roman" w:cs="Times New Roman"/>
          <w:color w:val="FF0000"/>
          <w:sz w:val="24"/>
          <w:szCs w:val="24"/>
        </w:rPr>
      </w:pPr>
    </w:p>
    <w:tbl>
      <w:tblPr>
        <w:tblStyle w:val="TableGrid"/>
        <w:tblW w:w="15876" w:type="dxa"/>
        <w:tblInd w:w="108" w:type="dxa"/>
        <w:tblLayout w:type="fixed"/>
        <w:tblLook w:val="04A0" w:firstRow="1" w:lastRow="0" w:firstColumn="1" w:lastColumn="0" w:noHBand="0" w:noVBand="1"/>
      </w:tblPr>
      <w:tblGrid>
        <w:gridCol w:w="2978"/>
        <w:gridCol w:w="5953"/>
        <w:gridCol w:w="2268"/>
        <w:gridCol w:w="4677"/>
      </w:tblGrid>
      <w:tr w:rsidR="004C4515" w:rsidRPr="00AF7630" w:rsidTr="0069372A">
        <w:tc>
          <w:tcPr>
            <w:tcW w:w="2978" w:type="dxa"/>
          </w:tcPr>
          <w:p w:rsidR="004C4515" w:rsidRPr="00AF7630" w:rsidRDefault="004C4515" w:rsidP="0001557F">
            <w:pPr>
              <w:jc w:val="center"/>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Điều, khoản</w:t>
            </w:r>
          </w:p>
        </w:tc>
        <w:tc>
          <w:tcPr>
            <w:tcW w:w="5953" w:type="dxa"/>
          </w:tcPr>
          <w:p w:rsidR="004C4515" w:rsidRPr="00AF7630" w:rsidRDefault="004C4515" w:rsidP="0001557F">
            <w:pPr>
              <w:jc w:val="center"/>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Nội dung góp ý</w:t>
            </w:r>
          </w:p>
        </w:tc>
        <w:tc>
          <w:tcPr>
            <w:tcW w:w="2268" w:type="dxa"/>
          </w:tcPr>
          <w:p w:rsidR="004C4515" w:rsidRPr="00AF7630" w:rsidRDefault="004C4515" w:rsidP="0001557F">
            <w:pPr>
              <w:jc w:val="center"/>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Đơn vị góp ý</w:t>
            </w:r>
          </w:p>
        </w:tc>
        <w:tc>
          <w:tcPr>
            <w:tcW w:w="4677" w:type="dxa"/>
          </w:tcPr>
          <w:p w:rsidR="004C4515" w:rsidRPr="00AF7630" w:rsidRDefault="004C4515" w:rsidP="0001557F">
            <w:pPr>
              <w:jc w:val="center"/>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Nội dung giải trình</w:t>
            </w:r>
          </w:p>
        </w:tc>
      </w:tr>
      <w:tr w:rsidR="004C4515" w:rsidRPr="00AF7630" w:rsidTr="0069372A">
        <w:tc>
          <w:tcPr>
            <w:tcW w:w="15876" w:type="dxa"/>
            <w:gridSpan w:val="4"/>
          </w:tcPr>
          <w:p w:rsidR="004C4515" w:rsidRPr="00AF7630" w:rsidRDefault="004C4515"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I. Ý kiến chung</w:t>
            </w:r>
          </w:p>
          <w:p w:rsidR="00017784" w:rsidRPr="00AF7630" w:rsidRDefault="00017784" w:rsidP="0001557F">
            <w:pPr>
              <w:jc w:val="both"/>
              <w:rPr>
                <w:rFonts w:ascii="Times New Roman" w:hAnsi="Times New Roman" w:cs="Times New Roman"/>
                <w:b/>
                <w:i/>
                <w:sz w:val="24"/>
                <w:szCs w:val="24"/>
              </w:rPr>
            </w:pPr>
            <w:r w:rsidRPr="00AF7630">
              <w:rPr>
                <w:rFonts w:ascii="Times New Roman" w:hAnsi="Times New Roman" w:cs="Times New Roman"/>
                <w:b/>
                <w:i/>
                <w:sz w:val="24"/>
                <w:szCs w:val="24"/>
              </w:rPr>
              <w:t xml:space="preserve">Các đơn vị nhất trí với nội dung dự thảo Nghị định: </w:t>
            </w:r>
          </w:p>
          <w:p w:rsidR="00017784" w:rsidRPr="00AF7630" w:rsidRDefault="00017784" w:rsidP="0001557F">
            <w:pPr>
              <w:jc w:val="both"/>
              <w:rPr>
                <w:rFonts w:ascii="Times New Roman" w:hAnsi="Times New Roman" w:cs="Times New Roman"/>
                <w:sz w:val="24"/>
                <w:szCs w:val="24"/>
              </w:rPr>
            </w:pPr>
            <w:r w:rsidRPr="00AF7630">
              <w:rPr>
                <w:rFonts w:ascii="Times New Roman" w:hAnsi="Times New Roman" w:cs="Times New Roman"/>
                <w:sz w:val="24"/>
                <w:szCs w:val="24"/>
              </w:rPr>
              <w:t>- Mặt trận Tổ quốc VN.</w:t>
            </w:r>
          </w:p>
          <w:p w:rsidR="00017784" w:rsidRPr="00AF7630" w:rsidRDefault="00017784" w:rsidP="00822D05">
            <w:pPr>
              <w:jc w:val="both"/>
              <w:rPr>
                <w:rFonts w:ascii="Times New Roman" w:hAnsi="Times New Roman" w:cs="Times New Roman"/>
                <w:sz w:val="24"/>
                <w:szCs w:val="24"/>
              </w:rPr>
            </w:pPr>
            <w:r w:rsidRPr="00AF7630">
              <w:rPr>
                <w:rFonts w:ascii="Times New Roman" w:hAnsi="Times New Roman" w:cs="Times New Roman"/>
                <w:sz w:val="24"/>
                <w:szCs w:val="24"/>
              </w:rPr>
              <w:t>- Ngân hàng Bangkok Đại chúng TNHH- CN Hà Nội và CN HCM, Ngân hàng First Commercial Bank - CN Tp.HCM, NHTM Taipei Fubon – CN Bình Dương, HD Saison, Ngân hàng KEB Hana CN Hà Nội/ CN HCM, TFBHCM, Ngân hàng TM TNHH E.SUN – CN Đồng Nai,  Ngân hàng MEGA ICBC CN HCM, Ngân hàng Sinopac – CN TP. HCM, Ngân hàng Deutsche Bank AG CN. Hồ Chí Minh, CTTC TNHH MTV Bưu điện, Mizuho Bank</w:t>
            </w:r>
            <w:r w:rsidR="00822D05">
              <w:rPr>
                <w:rFonts w:ascii="Times New Roman" w:hAnsi="Times New Roman" w:cs="Times New Roman"/>
                <w:sz w:val="24"/>
                <w:szCs w:val="24"/>
              </w:rPr>
              <w:t xml:space="preserve"> -</w:t>
            </w:r>
            <w:r w:rsidRPr="00AF7630">
              <w:rPr>
                <w:rFonts w:ascii="Times New Roman" w:hAnsi="Times New Roman" w:cs="Times New Roman"/>
                <w:sz w:val="24"/>
                <w:szCs w:val="24"/>
              </w:rPr>
              <w:t xml:space="preserve"> CN. Tp. Hồ Chí Minh, CIMB Việt Nam, BIDC Hà Nội, The Shanghai Commercial &amp; Savings Bank, Ltd – CN. Đồng Nai, IBK CN. Hà Nội, OCB, Ngân hàng Hua Nan Commercial Bank CN.HCM, CTTC Công nghiệp Tàu thủy, NHTM Taipei Fubon – CN. HN, DSB HCMC</w:t>
            </w:r>
            <w:r w:rsidR="00EB154F" w:rsidRPr="00AF7630">
              <w:rPr>
                <w:rFonts w:ascii="Times New Roman" w:hAnsi="Times New Roman" w:cs="Times New Roman"/>
                <w:sz w:val="24"/>
                <w:szCs w:val="24"/>
              </w:rPr>
              <w:t>, CTCTTC I-Agribank.</w:t>
            </w:r>
          </w:p>
        </w:tc>
      </w:tr>
      <w:tr w:rsidR="00660664" w:rsidRPr="00AF7630" w:rsidTr="0069372A">
        <w:tc>
          <w:tcPr>
            <w:tcW w:w="2978" w:type="dxa"/>
          </w:tcPr>
          <w:p w:rsidR="00660664" w:rsidRPr="00AF7630" w:rsidRDefault="00660664" w:rsidP="0001557F">
            <w:pPr>
              <w:jc w:val="both"/>
              <w:rPr>
                <w:rFonts w:ascii="Times New Roman" w:eastAsia="Times New Roman" w:hAnsi="Times New Roman" w:cs="Times New Roman"/>
                <w:sz w:val="24"/>
                <w:szCs w:val="24"/>
              </w:rPr>
            </w:pPr>
          </w:p>
        </w:tc>
        <w:tc>
          <w:tcPr>
            <w:tcW w:w="5953" w:type="dxa"/>
          </w:tcPr>
          <w:p w:rsidR="00660664" w:rsidRPr="00AF7630" w:rsidRDefault="0066066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Rà soát lại thể thức trình bày văn bản như đồng nhất việc dùng dấu “;” để kết thúc các điểm theo đúng Quy định như tại Điều 7, Điều 14,…; dùng dấu “.” để kết thúc các khoản tại Điều 5,…</w:t>
            </w:r>
          </w:p>
        </w:tc>
        <w:tc>
          <w:tcPr>
            <w:tcW w:w="2268" w:type="dxa"/>
          </w:tcPr>
          <w:p w:rsidR="00660664" w:rsidRPr="00AF7630" w:rsidRDefault="00660664" w:rsidP="0001557F">
            <w:pPr>
              <w:jc w:val="both"/>
              <w:rPr>
                <w:rFonts w:ascii="Times New Roman" w:hAnsi="Times New Roman" w:cs="Times New Roman"/>
                <w:sz w:val="24"/>
                <w:szCs w:val="24"/>
              </w:rPr>
            </w:pPr>
            <w:r w:rsidRPr="00AF7630">
              <w:rPr>
                <w:rFonts w:ascii="Times New Roman" w:hAnsi="Times New Roman" w:cs="Times New Roman"/>
                <w:sz w:val="24"/>
                <w:szCs w:val="24"/>
              </w:rPr>
              <w:t>Agribank</w:t>
            </w:r>
          </w:p>
        </w:tc>
        <w:tc>
          <w:tcPr>
            <w:tcW w:w="4677" w:type="dxa"/>
          </w:tcPr>
          <w:p w:rsidR="00660664" w:rsidRPr="00AF7630" w:rsidRDefault="00886937"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w:t>
            </w:r>
            <w:r w:rsidR="00F22E5C" w:rsidRPr="00AF7630">
              <w:rPr>
                <w:rFonts w:ascii="Times New Roman" w:eastAsia="Times New Roman" w:hAnsi="Times New Roman" w:cs="Times New Roman"/>
                <w:sz w:val="24"/>
                <w:szCs w:val="24"/>
              </w:rPr>
              <w:t>NHNN đã rà soát chỉnh sửa tại dự thảo Nghị định.</w:t>
            </w:r>
          </w:p>
        </w:tc>
      </w:tr>
      <w:tr w:rsidR="00571A5C" w:rsidRPr="00AF7630" w:rsidTr="0069372A">
        <w:tc>
          <w:tcPr>
            <w:tcW w:w="2978" w:type="dxa"/>
          </w:tcPr>
          <w:p w:rsidR="00571A5C" w:rsidRPr="00AF7630" w:rsidRDefault="00571A5C" w:rsidP="0001557F">
            <w:pPr>
              <w:jc w:val="both"/>
              <w:rPr>
                <w:rFonts w:ascii="Times New Roman" w:eastAsia="Times New Roman" w:hAnsi="Times New Roman" w:cs="Times New Roman"/>
                <w:sz w:val="24"/>
                <w:szCs w:val="24"/>
              </w:rPr>
            </w:pPr>
          </w:p>
        </w:tc>
        <w:tc>
          <w:tcPr>
            <w:tcW w:w="5953" w:type="dxa"/>
          </w:tcPr>
          <w:p w:rsidR="00571A5C" w:rsidRPr="00AF7630" w:rsidRDefault="00571A5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nghị Đơn vị soạn thảo rà soát và điều chỉnh lại các nội dung dẫn chiếu tới các điều khoản khác trong văn bản</w:t>
            </w:r>
          </w:p>
        </w:tc>
        <w:tc>
          <w:tcPr>
            <w:tcW w:w="2268" w:type="dxa"/>
          </w:tcPr>
          <w:p w:rsidR="00571A5C" w:rsidRPr="00AF7630" w:rsidRDefault="00571A5C" w:rsidP="0001557F">
            <w:pPr>
              <w:jc w:val="both"/>
              <w:rPr>
                <w:rFonts w:ascii="Times New Roman" w:hAnsi="Times New Roman" w:cs="Times New Roman"/>
                <w:sz w:val="24"/>
                <w:szCs w:val="24"/>
              </w:rPr>
            </w:pPr>
            <w:r w:rsidRPr="00AF7630">
              <w:rPr>
                <w:rFonts w:ascii="Times New Roman" w:hAnsi="Times New Roman" w:cs="Times New Roman"/>
                <w:bCs/>
                <w:sz w:val="24"/>
                <w:szCs w:val="24"/>
              </w:rPr>
              <w:t>BIDV-SuMi TRUST Leasing</w:t>
            </w:r>
          </w:p>
        </w:tc>
        <w:tc>
          <w:tcPr>
            <w:tcW w:w="4677" w:type="dxa"/>
          </w:tcPr>
          <w:p w:rsidR="00571A5C" w:rsidRPr="00AF7630" w:rsidRDefault="002B600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Tiếp thu</w:t>
            </w:r>
          </w:p>
        </w:tc>
      </w:tr>
      <w:tr w:rsidR="00660664" w:rsidRPr="00AF7630" w:rsidTr="0069372A">
        <w:tc>
          <w:tcPr>
            <w:tcW w:w="2978" w:type="dxa"/>
          </w:tcPr>
          <w:p w:rsidR="00660664" w:rsidRPr="00AF7630" w:rsidRDefault="00660664" w:rsidP="0001557F">
            <w:pPr>
              <w:jc w:val="both"/>
              <w:rPr>
                <w:rFonts w:ascii="Times New Roman" w:hAnsi="Times New Roman" w:cs="Times New Roman"/>
                <w:sz w:val="24"/>
                <w:szCs w:val="24"/>
              </w:rPr>
            </w:pPr>
          </w:p>
        </w:tc>
        <w:tc>
          <w:tcPr>
            <w:tcW w:w="5953" w:type="dxa"/>
          </w:tcPr>
          <w:p w:rsidR="00660664" w:rsidRPr="00AF7630" w:rsidRDefault="00660664" w:rsidP="0001557F">
            <w:pPr>
              <w:jc w:val="both"/>
              <w:rPr>
                <w:rFonts w:ascii="Times New Roman" w:hAnsi="Times New Roman" w:cs="Times New Roman"/>
                <w:sz w:val="24"/>
                <w:szCs w:val="24"/>
              </w:rPr>
            </w:pPr>
            <w:r w:rsidRPr="00AF7630">
              <w:rPr>
                <w:rFonts w:ascii="Times New Roman" w:hAnsi="Times New Roman" w:cs="Times New Roman"/>
                <w:sz w:val="24"/>
                <w:szCs w:val="24"/>
              </w:rPr>
              <w:t>Hiện việc trích lập dự phòng đối với các khoản cơ cấu giữ nguyên nhóm nợ đang được quy định tại Thông tư 01/2020/TT-NHNN ngày 13/03/2020 Quy định về việc tổ chức tín dụng, chi nhánh ngân hàng nước ngoài cơ cấu lại thời hạn trả nợ, miễn, giảm lãi, phí, giữ nguyên nhóm nợ nhằm hỗ trợ khách hàng chịu ảnh hưởng do dịch Covid-19 (đã được sửa đổi, bổ sung) và Thông tư 02/2023/TT-NHNN ngày 23/04/2023 Quy định về việc tổ chức tín dụng, chi nhánh ngân hàng nước ngoài cơ cấu lại thời hạn trả nợ và giữ nguyên nhóm nợ nhằm hỗ trợ khách hàng gặp khó khăn. Vậy khi ban hành Nghị định về trích lập dự phòng này thì tổ chức tín dụng chưa xác định được sẽ thực hiện các khoản nợ cơ cấu giữ nguyên nhóm nợ này như thế nào.</w:t>
            </w:r>
          </w:p>
          <w:p w:rsidR="00660664" w:rsidRPr="00AF7630" w:rsidRDefault="00660664" w:rsidP="0001557F">
            <w:pPr>
              <w:jc w:val="both"/>
              <w:rPr>
                <w:rFonts w:ascii="Times New Roman" w:hAnsi="Times New Roman" w:cs="Times New Roman"/>
                <w:sz w:val="24"/>
                <w:szCs w:val="24"/>
              </w:rPr>
            </w:pPr>
            <w:r w:rsidRPr="00AF7630">
              <w:rPr>
                <w:rFonts w:ascii="Times New Roman" w:hAnsi="Times New Roman" w:cs="Times New Roman"/>
                <w:sz w:val="24"/>
                <w:szCs w:val="24"/>
              </w:rPr>
              <w:t xml:space="preserve">Do đó, Vietbank kính đề xuất NHNN xem xét quy định bổ sung về việc trích lập dự phòng đối với các khoản nợ được cơ cấu theo Thông tư 01/2020/TT-NHNN ngày 13/03/2020 Quy định về việc tổ chức tín dụng, chi nhánh ngân hàng </w:t>
            </w:r>
            <w:r w:rsidRPr="00AF7630">
              <w:rPr>
                <w:rFonts w:ascii="Times New Roman" w:hAnsi="Times New Roman" w:cs="Times New Roman"/>
                <w:sz w:val="24"/>
                <w:szCs w:val="24"/>
              </w:rPr>
              <w:lastRenderedPageBreak/>
              <w:t>nước ngoài cơ cấu lại thời hạn trả nợ, miễn, giảm lãi, phí, giữ nguyên nhóm nợ nhằm hỗ trợ khách hàng chịu ảnh hưởng do dịch Covid-19 và Thông tư 02/2023/TT-NHNN ngày 23/04/2023 Quy định về việc tổ chức tín dụng, chi nhánh ngân hàng nước ngoài cơ cấu lại thời hạn trả nợ và giữ nguyên nhóm nợ nhằm hỗ trợ khách hàng gặp khó khăn.</w:t>
            </w:r>
          </w:p>
        </w:tc>
        <w:tc>
          <w:tcPr>
            <w:tcW w:w="2268" w:type="dxa"/>
          </w:tcPr>
          <w:p w:rsidR="00660664" w:rsidRPr="00AF7630" w:rsidRDefault="00660664" w:rsidP="0001557F">
            <w:pPr>
              <w:jc w:val="both"/>
              <w:rPr>
                <w:rFonts w:ascii="Times New Roman" w:hAnsi="Times New Roman" w:cs="Times New Roman"/>
                <w:sz w:val="24"/>
                <w:szCs w:val="24"/>
              </w:rPr>
            </w:pPr>
            <w:r w:rsidRPr="00AF7630">
              <w:rPr>
                <w:rFonts w:ascii="Times New Roman" w:hAnsi="Times New Roman" w:cs="Times New Roman"/>
                <w:sz w:val="24"/>
                <w:szCs w:val="24"/>
              </w:rPr>
              <w:lastRenderedPageBreak/>
              <w:t>Vietbank</w:t>
            </w:r>
          </w:p>
        </w:tc>
        <w:tc>
          <w:tcPr>
            <w:tcW w:w="4677" w:type="dxa"/>
          </w:tcPr>
          <w:p w:rsidR="00660664" w:rsidRPr="00AF7630" w:rsidRDefault="00AF7F2F"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Việc chuyển tiếp đối với khoản nợ cơ cấu lại thời hạn trả nợ và giữ nguyên nhóm nợ</w:t>
            </w:r>
            <w:r w:rsidR="002B6004" w:rsidRPr="00AF7630">
              <w:rPr>
                <w:rFonts w:ascii="Times New Roman" w:eastAsia="Times New Roman" w:hAnsi="Times New Roman" w:cs="Times New Roman"/>
                <w:sz w:val="24"/>
                <w:szCs w:val="24"/>
              </w:rPr>
              <w:t xml:space="preserve"> đã được quy định tại khoản 4 Điều 17 dự thảo Nghị định.</w:t>
            </w:r>
          </w:p>
        </w:tc>
      </w:tr>
      <w:tr w:rsidR="00177A1B" w:rsidRPr="00AF7630" w:rsidTr="0069372A">
        <w:tc>
          <w:tcPr>
            <w:tcW w:w="2978" w:type="dxa"/>
            <w:vMerge w:val="restart"/>
          </w:tcPr>
          <w:p w:rsidR="00177A1B" w:rsidRPr="00AF7630" w:rsidRDefault="00177A1B" w:rsidP="0001557F">
            <w:pPr>
              <w:jc w:val="both"/>
              <w:rPr>
                <w:rFonts w:ascii="Times New Roman" w:hAnsi="Times New Roman" w:cs="Times New Roman"/>
                <w:sz w:val="24"/>
                <w:szCs w:val="24"/>
              </w:rPr>
            </w:pPr>
            <w:r w:rsidRPr="00AF7630">
              <w:rPr>
                <w:rFonts w:ascii="Times New Roman" w:hAnsi="Times New Roman" w:cs="Times New Roman"/>
                <w:sz w:val="24"/>
                <w:szCs w:val="24"/>
              </w:rPr>
              <w:lastRenderedPageBreak/>
              <w:t>Tên DTNĐ</w:t>
            </w:r>
          </w:p>
        </w:tc>
        <w:tc>
          <w:tcPr>
            <w:tcW w:w="5953" w:type="dxa"/>
          </w:tcPr>
          <w:p w:rsidR="00177A1B" w:rsidRPr="00AF7630" w:rsidRDefault="00177A1B" w:rsidP="0001557F">
            <w:pPr>
              <w:jc w:val="both"/>
              <w:rPr>
                <w:rFonts w:ascii="Times New Roman" w:hAnsi="Times New Roman" w:cs="Times New Roman"/>
                <w:sz w:val="24"/>
                <w:szCs w:val="24"/>
              </w:rPr>
            </w:pPr>
            <w:r w:rsidRPr="00AF7630">
              <w:rPr>
                <w:rFonts w:ascii="Times New Roman" w:hAnsi="Times New Roman" w:cs="Times New Roman"/>
                <w:sz w:val="24"/>
                <w:szCs w:val="24"/>
              </w:rPr>
              <w:t xml:space="preserve">Điểm b khoản 2 Điều 159 Luật Các tổ chức tín dụng năm 2024 </w:t>
            </w:r>
            <w:r w:rsidRPr="00AF7630">
              <w:rPr>
                <w:rFonts w:ascii="Times New Roman" w:hAnsi="Times New Roman" w:cs="Times New Roman"/>
                <w:i/>
                <w:sz w:val="24"/>
                <w:szCs w:val="24"/>
              </w:rPr>
              <w:t>“giao Chính phủ quy định trường hợp cần thiết to chức tín dụng cỏ thời gian phản bo lãi phải thu phải thoái lớn hơn 05 năm nhưng không quả 10 năm khi to chức tín dụng được can thiệp sớm áp dụng biện pháp hỗ trợ ”</w:t>
            </w:r>
            <w:r w:rsidRPr="00AF7630">
              <w:rPr>
                <w:rFonts w:ascii="Times New Roman" w:hAnsi="Times New Roman" w:cs="Times New Roman"/>
                <w:sz w:val="24"/>
                <w:szCs w:val="24"/>
              </w:rPr>
              <w:t>. Điểm g khoản 1 Điều 171 cũng có quy định về trường hợp tổ chức tín dụng thực hiện biện pháp hỗ trợ thực hiện phương án phục hồi thì thời gian phân bổ lãi phải thu phải thoái tối đa 10 năm kể từ khi được Ngân hàng Nhà nước chấp thuận và chỉ áp dụng cho khoản phải thu phát sinh đến thời điểm tổ chức tín dụng được đặt vào kiểm soát đặc biệt. Theo đó, tên gọi và điểm b khoản 1 Điều 1 (về phạm vi điều chỉnh) dự thảo Nghị định về trường hợp tổ chức tín dụng phân bổ lãi phải thu phải thoái”, “trường hợp tổ chức tín dụng có thời gian phân bổ lãi phải thu phải thoái lớn hơn 05 năm nhưng không quá 10 năm” quy định chung chung, chưa rõ ràng. Đề nghị chỉnh lý tên gọi và phạm vi điều chỉnh của dự thảo Nghị định cho rõ ràng, phù hợp với quy định nêu trên của Luật Các tổ chức tín dụng.</w:t>
            </w:r>
          </w:p>
        </w:tc>
        <w:tc>
          <w:tcPr>
            <w:tcW w:w="2268" w:type="dxa"/>
          </w:tcPr>
          <w:p w:rsidR="00177A1B" w:rsidRPr="00AF7630" w:rsidRDefault="00177A1B" w:rsidP="0001557F">
            <w:pPr>
              <w:jc w:val="both"/>
              <w:rPr>
                <w:rFonts w:ascii="Times New Roman" w:hAnsi="Times New Roman" w:cs="Times New Roman"/>
                <w:sz w:val="24"/>
                <w:szCs w:val="24"/>
              </w:rPr>
            </w:pPr>
            <w:r w:rsidRPr="00AF7630">
              <w:rPr>
                <w:rFonts w:ascii="Times New Roman" w:hAnsi="Times New Roman" w:cs="Times New Roman"/>
                <w:sz w:val="24"/>
                <w:szCs w:val="24"/>
              </w:rPr>
              <w:t>Bộ Công an</w:t>
            </w:r>
          </w:p>
        </w:tc>
        <w:tc>
          <w:tcPr>
            <w:tcW w:w="4677" w:type="dxa"/>
          </w:tcPr>
          <w:p w:rsidR="00177A1B" w:rsidRPr="00AF7630" w:rsidRDefault="0050047D"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để đảm bảo rõ ràng, pham vi điều chỉnh của dự thảo Nghị định tại điểm b khoản 1 Điều 1 được chỉnh sửa như sau: </w:t>
            </w:r>
            <w:r w:rsidRPr="00AF7630">
              <w:rPr>
                <w:rFonts w:ascii="Times New Roman" w:eastAsia="Times New Roman" w:hAnsi="Times New Roman" w:cs="Times New Roman"/>
                <w:i/>
                <w:sz w:val="24"/>
                <w:szCs w:val="24"/>
              </w:rPr>
              <w:t xml:space="preserve">“b) Trường hợp tổ chức tín dụng có thời gian phân bổ lãi phải thu phải thoái lớn hơn 05 năm nhưng không quá 10 năm </w:t>
            </w:r>
            <w:r w:rsidRPr="00AF7630">
              <w:rPr>
                <w:rFonts w:ascii="Times New Roman" w:eastAsia="Times New Roman" w:hAnsi="Times New Roman" w:cs="Times New Roman"/>
                <w:i/>
                <w:sz w:val="24"/>
                <w:szCs w:val="24"/>
                <w:u w:val="single"/>
              </w:rPr>
              <w:t>theo quy định tại điểm b khoản 2 Điều 159 Luật các TCTD</w:t>
            </w:r>
            <w:r w:rsidRPr="00AF7630">
              <w:rPr>
                <w:rFonts w:ascii="Times New Roman" w:eastAsia="Times New Roman" w:hAnsi="Times New Roman" w:cs="Times New Roman"/>
                <w:i/>
                <w:sz w:val="24"/>
                <w:szCs w:val="24"/>
              </w:rPr>
              <w:t>.”</w:t>
            </w:r>
          </w:p>
        </w:tc>
      </w:tr>
      <w:tr w:rsidR="00177A1B" w:rsidRPr="00AF7630" w:rsidTr="0069372A">
        <w:tc>
          <w:tcPr>
            <w:tcW w:w="2978" w:type="dxa"/>
            <w:vMerge/>
          </w:tcPr>
          <w:p w:rsidR="00177A1B" w:rsidRPr="00AF7630" w:rsidRDefault="00177A1B" w:rsidP="0001557F">
            <w:pPr>
              <w:jc w:val="both"/>
              <w:rPr>
                <w:rFonts w:ascii="Times New Roman" w:hAnsi="Times New Roman" w:cs="Times New Roman"/>
                <w:sz w:val="24"/>
                <w:szCs w:val="24"/>
              </w:rPr>
            </w:pPr>
          </w:p>
        </w:tc>
        <w:tc>
          <w:tcPr>
            <w:tcW w:w="5953" w:type="dxa"/>
          </w:tcPr>
          <w:p w:rsidR="00177A1B" w:rsidRPr="00AF7630" w:rsidRDefault="00177A1B" w:rsidP="0001557F">
            <w:pPr>
              <w:jc w:val="both"/>
              <w:rPr>
                <w:rFonts w:ascii="Times New Roman" w:hAnsi="Times New Roman" w:cs="Times New Roman"/>
                <w:sz w:val="24"/>
                <w:szCs w:val="24"/>
              </w:rPr>
            </w:pPr>
            <w:r w:rsidRPr="00AF7630">
              <w:rPr>
                <w:rFonts w:ascii="Times New Roman" w:hAnsi="Times New Roman" w:cs="Times New Roman"/>
                <w:sz w:val="24"/>
                <w:szCs w:val="24"/>
              </w:rPr>
              <w:t>Đề xuất điều chỉnh tên Nghị định đảm bảo việc phân bổ lãi phải thu phải thoái áp dụng cả với Chi nhánh NHNNg.</w:t>
            </w:r>
          </w:p>
        </w:tc>
        <w:tc>
          <w:tcPr>
            <w:tcW w:w="2268" w:type="dxa"/>
          </w:tcPr>
          <w:p w:rsidR="00177A1B" w:rsidRPr="00AF7630" w:rsidRDefault="00177A1B" w:rsidP="0001557F">
            <w:pPr>
              <w:jc w:val="both"/>
              <w:rPr>
                <w:rFonts w:ascii="Times New Roman" w:hAnsi="Times New Roman" w:cs="Times New Roman"/>
                <w:sz w:val="24"/>
                <w:szCs w:val="24"/>
              </w:rPr>
            </w:pPr>
            <w:r w:rsidRPr="00AF7630">
              <w:rPr>
                <w:rFonts w:ascii="Times New Roman" w:hAnsi="Times New Roman" w:cs="Times New Roman"/>
                <w:sz w:val="24"/>
                <w:szCs w:val="24"/>
              </w:rPr>
              <w:t>VCB, BIDV</w:t>
            </w:r>
          </w:p>
        </w:tc>
        <w:tc>
          <w:tcPr>
            <w:tcW w:w="4677" w:type="dxa"/>
          </w:tcPr>
          <w:p w:rsidR="00177A1B" w:rsidRPr="00AF7630" w:rsidRDefault="00177A1B"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Không tiếp thu, </w:t>
            </w:r>
            <w:r w:rsidRPr="00AF7630">
              <w:rPr>
                <w:rFonts w:ascii="Times New Roman" w:eastAsia="Times New Roman" w:hAnsi="Times New Roman" w:cs="Times New Roman"/>
                <w:sz w:val="24"/>
                <w:szCs w:val="24"/>
              </w:rPr>
              <w:t>quy định về trường hợp TCTD phân bổ lãi phải thu phái thoái là hướng dẫn khoản 3 Điều 159 Luật các TCTD, không áp dụng đối với chi nhánh NHNg.</w:t>
            </w:r>
          </w:p>
        </w:tc>
      </w:tr>
      <w:tr w:rsidR="004C4515" w:rsidRPr="00AF7630" w:rsidTr="0069372A">
        <w:tc>
          <w:tcPr>
            <w:tcW w:w="15876" w:type="dxa"/>
            <w:gridSpan w:val="4"/>
          </w:tcPr>
          <w:p w:rsidR="004C4515" w:rsidRPr="00AF7630" w:rsidRDefault="004C4515"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II. Ý kiến cụ thể</w:t>
            </w:r>
          </w:p>
        </w:tc>
      </w:tr>
      <w:tr w:rsidR="00213FF6" w:rsidRPr="00AF7630" w:rsidTr="0069372A">
        <w:tc>
          <w:tcPr>
            <w:tcW w:w="2978" w:type="dxa"/>
            <w:vMerge w:val="restart"/>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1 DTNĐ:</w:t>
            </w:r>
          </w:p>
        </w:tc>
        <w:tc>
          <w:tcPr>
            <w:tcW w:w="5953" w:type="dxa"/>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1 dự thảo Nghị định quy định tương tự như tại Điều 1 dự thảo Thông tư quy định về phân loại nợ. Do đó, kính đề nghị NHNN xem xét việc tham chiếu sang nội dung dự thảo Thông tư mà không viết lại.</w:t>
            </w:r>
          </w:p>
        </w:tc>
        <w:tc>
          <w:tcPr>
            <w:tcW w:w="2268" w:type="dxa"/>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Ngân hàng TNHH MTV Woori Việt Nam</w:t>
            </w:r>
          </w:p>
        </w:tc>
        <w:tc>
          <w:tcPr>
            <w:tcW w:w="4677" w:type="dxa"/>
          </w:tcPr>
          <w:p w:rsidR="00213FF6"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w:t>
            </w:r>
            <w:r w:rsidR="00AF7F2F" w:rsidRPr="00AF7630">
              <w:rPr>
                <w:rFonts w:ascii="Times New Roman" w:eastAsia="Times New Roman" w:hAnsi="Times New Roman" w:cs="Times New Roman"/>
                <w:sz w:val="24"/>
                <w:szCs w:val="24"/>
              </w:rPr>
              <w:t>khoản 2 Điều 1</w:t>
            </w:r>
            <w:r w:rsidRPr="00AF7630">
              <w:rPr>
                <w:rFonts w:ascii="Times New Roman" w:eastAsia="Times New Roman" w:hAnsi="Times New Roman" w:cs="Times New Roman"/>
                <w:sz w:val="24"/>
                <w:szCs w:val="24"/>
              </w:rPr>
              <w:t xml:space="preserve"> cần được quy định tại dự thảo Nghị định để làm rõ phạm vi điều chỉnh của Nghị định.</w:t>
            </w:r>
          </w:p>
        </w:tc>
      </w:tr>
      <w:tr w:rsidR="00213FF6" w:rsidRPr="00AF7630" w:rsidTr="0069372A">
        <w:tc>
          <w:tcPr>
            <w:tcW w:w="2978" w:type="dxa"/>
            <w:vMerge/>
          </w:tcPr>
          <w:p w:rsidR="00213FF6" w:rsidRPr="00AF7630" w:rsidRDefault="00213FF6" w:rsidP="0001557F">
            <w:pPr>
              <w:jc w:val="both"/>
              <w:rPr>
                <w:rFonts w:ascii="Times New Roman" w:eastAsia="Times New Roman" w:hAnsi="Times New Roman" w:cs="Times New Roman"/>
                <w:sz w:val="24"/>
                <w:szCs w:val="24"/>
              </w:rPr>
            </w:pPr>
          </w:p>
        </w:tc>
        <w:tc>
          <w:tcPr>
            <w:tcW w:w="5953" w:type="dxa"/>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nghị bổ sung quy định về việc trích lập dự phòng cho các trường hợp:</w:t>
            </w:r>
          </w:p>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 Đối với các khoản cho vay, tiền gửi của tổ chức tín dụng hỗ trợ tại tổ chức tín dụng đang được kiểm soát đặc biệt theo quy định tại khoản 9 Điều 174 Luật Các tổ chức tín dụng</w:t>
            </w:r>
          </w:p>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Đối với cho vay, bảo lãnh, tiền gửi của tổ chức tín dụng nhận chuyển giao bắt buộc và các tổ chức tín dụng khác tại ngân hàng thương mại được chuyển giao bắt buộc theo quy định tại khoản 2 Điều 184 Luật Các tổ chức tín dụng.</w:t>
            </w:r>
          </w:p>
        </w:tc>
        <w:tc>
          <w:tcPr>
            <w:tcW w:w="2268" w:type="dxa"/>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MSB</w:t>
            </w:r>
          </w:p>
        </w:tc>
        <w:tc>
          <w:tcPr>
            <w:tcW w:w="4677" w:type="dxa"/>
          </w:tcPr>
          <w:p w:rsidR="00213FF6"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các trường hợp này đã được quy định về việc phân loại nợ tại khoản 14, 15 </w:t>
            </w:r>
            <w:r w:rsidRPr="00AF7630">
              <w:rPr>
                <w:rFonts w:ascii="Times New Roman" w:eastAsia="Times New Roman" w:hAnsi="Times New Roman" w:cs="Times New Roman"/>
                <w:sz w:val="24"/>
                <w:szCs w:val="24"/>
              </w:rPr>
              <w:lastRenderedPageBreak/>
              <w:t>Điều 9 dự thảo Thông tư. Trên cơ sở kết quả phân loại tại Thông tư, căn cứ quy định tại khoản 8 Điều 3 dự thảo Nghị định và các quy định khác tại dự thảo Nghị định, TCTD, chi nhánh NHNg thực hiện trích lập dự phòng rui ro theo quy định tại Nghị định này.</w:t>
            </w:r>
          </w:p>
        </w:tc>
      </w:tr>
      <w:tr w:rsidR="002B6004" w:rsidRPr="00AF7630" w:rsidTr="0069372A">
        <w:tc>
          <w:tcPr>
            <w:tcW w:w="2978" w:type="dxa"/>
            <w:vMerge/>
          </w:tcPr>
          <w:p w:rsidR="002B6004" w:rsidRPr="00AF7630" w:rsidRDefault="002B6004" w:rsidP="0001557F">
            <w:pPr>
              <w:jc w:val="both"/>
              <w:rPr>
                <w:rFonts w:ascii="Times New Roman" w:eastAsia="Times New Roman" w:hAnsi="Times New Roman" w:cs="Times New Roman"/>
                <w:sz w:val="24"/>
                <w:szCs w:val="24"/>
              </w:rPr>
            </w:pPr>
          </w:p>
        </w:tc>
        <w:tc>
          <w:tcPr>
            <w:tcW w:w="5953" w:type="dxa"/>
          </w:tcPr>
          <w:p w:rsidR="002B6004"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1 về Phạm vi điều chỉnh quy định Thư tín dụng thuộc đối tượng trích lập dự phòng, đề nghị làm rõ các khoản cam kết ngoại bảng khác ngoài thư tín dụng như: bảo lãnh, chấp nhận thanh toán, cam kết cho vay không hủy ngang và các cam kết khác phát sinh rủi ro tín dụng có thuộc phạm vi điều chỉnh của Nghị định?</w:t>
            </w:r>
          </w:p>
        </w:tc>
        <w:tc>
          <w:tcPr>
            <w:tcW w:w="2268" w:type="dxa"/>
          </w:tcPr>
          <w:p w:rsidR="002B6004"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BIDV</w:t>
            </w:r>
          </w:p>
        </w:tc>
        <w:tc>
          <w:tcPr>
            <w:tcW w:w="4677" w:type="dxa"/>
            <w:vMerge w:val="restart"/>
          </w:tcPr>
          <w:p w:rsidR="002B6004"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Các khoản cam kết ngoại bảng không phải thực hiện trích lập dự phòng theo quy định tại Nghị định.</w:t>
            </w:r>
          </w:p>
          <w:p w:rsidR="002B6004"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Khi đã trở thành “khoản trả thay theo cam kết ngoại bảng” thì sẽ thuộc phạm vi điều chỉnh của Nghị định và thực hiện trích lập dự phòng rủi ro theo quy định tại Nghị định này.</w:t>
            </w:r>
          </w:p>
        </w:tc>
      </w:tr>
      <w:tr w:rsidR="002B6004" w:rsidRPr="00AF7630" w:rsidTr="0069372A">
        <w:tc>
          <w:tcPr>
            <w:tcW w:w="2978" w:type="dxa"/>
            <w:vMerge/>
          </w:tcPr>
          <w:p w:rsidR="002B6004" w:rsidRPr="00AF7630" w:rsidRDefault="002B6004" w:rsidP="0001557F">
            <w:pPr>
              <w:jc w:val="both"/>
              <w:rPr>
                <w:rFonts w:ascii="Times New Roman" w:eastAsia="Times New Roman" w:hAnsi="Times New Roman" w:cs="Times New Roman"/>
                <w:sz w:val="24"/>
                <w:szCs w:val="24"/>
              </w:rPr>
            </w:pPr>
          </w:p>
        </w:tc>
        <w:tc>
          <w:tcPr>
            <w:tcW w:w="5953" w:type="dxa"/>
          </w:tcPr>
          <w:p w:rsidR="002B6004"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Như nội dung tại Điều này thì được hiểu rằng phạm vi trích lập dự phòng bao gồm cả các khoản mục ngoại bảng (bảo lãnh, thư tín dụng, cam kết cho vay chưa giải ngân, cam kết thu xếp tài chính). Đề xuất bổ sung phạm vi trích lập dự phòng bao gồm các khoản phải thu có rủi ro tín dụng.</w:t>
            </w:r>
          </w:p>
        </w:tc>
        <w:tc>
          <w:tcPr>
            <w:tcW w:w="2268" w:type="dxa"/>
          </w:tcPr>
          <w:p w:rsidR="002B6004"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Techcombank</w:t>
            </w:r>
          </w:p>
        </w:tc>
        <w:tc>
          <w:tcPr>
            <w:tcW w:w="4677" w:type="dxa"/>
            <w:vMerge/>
          </w:tcPr>
          <w:p w:rsidR="002B6004" w:rsidRPr="00AF7630" w:rsidRDefault="002B6004" w:rsidP="0001557F">
            <w:pPr>
              <w:jc w:val="both"/>
              <w:rPr>
                <w:rFonts w:ascii="Times New Roman" w:eastAsia="Times New Roman" w:hAnsi="Times New Roman" w:cs="Times New Roman"/>
                <w:sz w:val="24"/>
                <w:szCs w:val="24"/>
              </w:rPr>
            </w:pPr>
          </w:p>
        </w:tc>
      </w:tr>
      <w:tr w:rsidR="00213FF6" w:rsidRPr="00AF7630" w:rsidTr="0069372A">
        <w:tc>
          <w:tcPr>
            <w:tcW w:w="2978" w:type="dxa"/>
            <w:vMerge/>
          </w:tcPr>
          <w:p w:rsidR="00213FF6" w:rsidRPr="00AF7630" w:rsidRDefault="00213FF6" w:rsidP="0001557F">
            <w:pPr>
              <w:jc w:val="both"/>
              <w:rPr>
                <w:rFonts w:ascii="Times New Roman" w:eastAsia="Times New Roman" w:hAnsi="Times New Roman" w:cs="Times New Roman"/>
                <w:sz w:val="24"/>
                <w:szCs w:val="24"/>
              </w:rPr>
            </w:pPr>
          </w:p>
        </w:tc>
        <w:tc>
          <w:tcPr>
            <w:tcW w:w="5953" w:type="dxa"/>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nghị Quý Cơ quan làm rõ khái niệm </w:t>
            </w:r>
            <w:r w:rsidRPr="00AF7630">
              <w:rPr>
                <w:rFonts w:ascii="Times New Roman" w:eastAsia="Times New Roman" w:hAnsi="Times New Roman" w:cs="Times New Roman"/>
                <w:i/>
                <w:iCs/>
                <w:sz w:val="24"/>
                <w:szCs w:val="24"/>
              </w:rPr>
              <w:t>“Mua hẳn miễn truy đòi bộ chứng từ xuất trình theo thư tín dụng”</w:t>
            </w:r>
            <w:r w:rsidRPr="00AF7630">
              <w:rPr>
                <w:rFonts w:ascii="Times New Roman" w:eastAsia="Times New Roman" w:hAnsi="Times New Roman" w:cs="Times New Roman"/>
                <w:sz w:val="24"/>
                <w:szCs w:val="24"/>
              </w:rPr>
              <w:t> trong Dự thảo có đồng nhất với khái niệm “</w:t>
            </w:r>
            <w:r w:rsidRPr="00AF7630">
              <w:rPr>
                <w:rFonts w:ascii="Times New Roman" w:eastAsia="Times New Roman" w:hAnsi="Times New Roman" w:cs="Times New Roman"/>
                <w:i/>
                <w:iCs/>
                <w:sz w:val="24"/>
                <w:szCs w:val="24"/>
              </w:rPr>
              <w:t>Chiết khấu miễn truy đòi bộ chứng từ theo L/C xuất khẩu”</w:t>
            </w:r>
            <w:r w:rsidRPr="00AF7630">
              <w:rPr>
                <w:rFonts w:ascii="Times New Roman" w:eastAsia="Times New Roman" w:hAnsi="Times New Roman" w:cs="Times New Roman"/>
                <w:sz w:val="24"/>
                <w:szCs w:val="24"/>
              </w:rPr>
              <w:t> đang được dự thảo trong Thông tư về thư tín dụng hay không</w:t>
            </w:r>
            <w:r w:rsidRPr="00AF7630">
              <w:rPr>
                <w:rFonts w:ascii="Times New Roman" w:eastAsia="Times New Roman" w:hAnsi="Times New Roman" w:cs="Times New Roman"/>
                <w:i/>
                <w:iCs/>
                <w:sz w:val="24"/>
                <w:szCs w:val="24"/>
              </w:rPr>
              <w:t>.</w:t>
            </w:r>
          </w:p>
        </w:tc>
        <w:tc>
          <w:tcPr>
            <w:tcW w:w="2268" w:type="dxa"/>
          </w:tcPr>
          <w:p w:rsidR="00213FF6" w:rsidRPr="00AF7630" w:rsidRDefault="00213FF6"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VPBank</w:t>
            </w:r>
          </w:p>
        </w:tc>
        <w:tc>
          <w:tcPr>
            <w:tcW w:w="4677" w:type="dxa"/>
          </w:tcPr>
          <w:p w:rsidR="00213FF6"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Trong dự thảo Thông tư về thư tín dụng không dùng khái niệm “</w:t>
            </w:r>
            <w:r w:rsidRPr="00AF7630">
              <w:rPr>
                <w:rFonts w:ascii="Times New Roman" w:eastAsia="Times New Roman" w:hAnsi="Times New Roman" w:cs="Times New Roman"/>
                <w:i/>
                <w:iCs/>
                <w:sz w:val="24"/>
                <w:szCs w:val="24"/>
              </w:rPr>
              <w:t>Chiết khấu miễn truy đòi bộ chứng từ theo L/C xuất khẩu”</w:t>
            </w:r>
            <w:r w:rsidRPr="00AF7630">
              <w:rPr>
                <w:rFonts w:ascii="Times New Roman" w:eastAsia="Times New Roman" w:hAnsi="Times New Roman" w:cs="Times New Roman"/>
                <w:sz w:val="24"/>
                <w:szCs w:val="24"/>
              </w:rPr>
              <w:t xml:space="preserve"> mà sử dụng khái niệm: </w:t>
            </w:r>
            <w:r w:rsidRPr="00AF7630">
              <w:rPr>
                <w:rFonts w:ascii="Times New Roman" w:eastAsia="Times New Roman" w:hAnsi="Times New Roman" w:cs="Times New Roman"/>
                <w:i/>
                <w:iCs/>
                <w:sz w:val="24"/>
                <w:szCs w:val="24"/>
              </w:rPr>
              <w:t>“Mua hẳn miễn truy đòi bộ chứng từ xuất trình theo thư tín dụng”.</w:t>
            </w:r>
          </w:p>
        </w:tc>
      </w:tr>
      <w:tr w:rsidR="005F7892" w:rsidRPr="00AF7630" w:rsidTr="0069372A">
        <w:tc>
          <w:tcPr>
            <w:tcW w:w="2978" w:type="dxa"/>
          </w:tcPr>
          <w:p w:rsidR="005F7892" w:rsidRPr="00AF7630" w:rsidRDefault="005F7892"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b khoản 1 Điều 1 DTNĐ:</w:t>
            </w:r>
          </w:p>
          <w:p w:rsidR="005F7892" w:rsidRPr="00AF7630" w:rsidRDefault="005F7892"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“b) Trường hợp tổ chức tín dụng có thời gian phân bổ lãi phải thu phải thoái lớn hơn 05 năm nhưng không quá 10 năm.”</w:t>
            </w:r>
          </w:p>
        </w:tc>
        <w:tc>
          <w:tcPr>
            <w:tcW w:w="5953" w:type="dxa"/>
          </w:tcPr>
          <w:p w:rsidR="005F7892" w:rsidRPr="00AF7630" w:rsidRDefault="005F7892"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xuất điều chỉnh nội dung diễn giải tại điểm b khoản 1:</w:t>
            </w:r>
          </w:p>
          <w:p w:rsidR="005F7892" w:rsidRPr="00AF7630" w:rsidRDefault="005F7892"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iCs/>
                <w:sz w:val="24"/>
                <w:szCs w:val="24"/>
              </w:rPr>
              <w:t>b) </w:t>
            </w:r>
            <w:r w:rsidRPr="00AF7630">
              <w:rPr>
                <w:rFonts w:ascii="Times New Roman" w:eastAsia="Times New Roman" w:hAnsi="Times New Roman" w:cs="Times New Roman"/>
                <w:b/>
                <w:bCs/>
                <w:i/>
                <w:iCs/>
                <w:sz w:val="24"/>
                <w:szCs w:val="24"/>
              </w:rPr>
              <w:t>Nguyên tắc thực hiện trong</w:t>
            </w:r>
            <w:r w:rsidRPr="00AF7630">
              <w:rPr>
                <w:rFonts w:ascii="Times New Roman" w:eastAsia="Times New Roman" w:hAnsi="Times New Roman" w:cs="Times New Roman"/>
                <w:i/>
                <w:iCs/>
                <w:sz w:val="24"/>
                <w:szCs w:val="24"/>
              </w:rPr>
              <w:t> trường hợp tổ chức tín dụng có thời gian phân bổ lãi phải thu phải thoái lớn hơn 05 năm nhưng không quá 10 năm.</w:t>
            </w:r>
          </w:p>
          <w:p w:rsidR="005F7892" w:rsidRPr="00AF7630" w:rsidRDefault="005F7892" w:rsidP="0001557F">
            <w:pPr>
              <w:jc w:val="both"/>
              <w:rPr>
                <w:rFonts w:ascii="Times New Roman" w:eastAsia="Times New Roman" w:hAnsi="Times New Roman" w:cs="Times New Roman"/>
                <w:sz w:val="24"/>
                <w:szCs w:val="24"/>
              </w:rPr>
            </w:pPr>
          </w:p>
        </w:tc>
        <w:tc>
          <w:tcPr>
            <w:tcW w:w="2268" w:type="dxa"/>
          </w:tcPr>
          <w:p w:rsidR="005F7892" w:rsidRPr="00AF7630" w:rsidRDefault="005F7892"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tcPr>
          <w:p w:rsidR="005F7892" w:rsidRPr="00AF7630" w:rsidRDefault="002B600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dự thảo Nghị định hướng dẫn khoản 3 Điều 159 Luật các TCTD 2024: </w:t>
            </w:r>
            <w:r w:rsidRPr="00AF7630">
              <w:rPr>
                <w:rFonts w:ascii="Times New Roman" w:eastAsia="Times New Roman" w:hAnsi="Times New Roman" w:cs="Times New Roman"/>
                <w:i/>
                <w:sz w:val="24"/>
                <w:szCs w:val="24"/>
              </w:rPr>
              <w:t xml:space="preserve">“Chính phủ </w:t>
            </w:r>
            <w:r w:rsidRPr="00AF7630">
              <w:rPr>
                <w:rFonts w:ascii="Times New Roman" w:eastAsia="Times New Roman" w:hAnsi="Times New Roman" w:cs="Times New Roman"/>
                <w:i/>
                <w:sz w:val="24"/>
                <w:szCs w:val="24"/>
                <w:u w:val="single"/>
              </w:rPr>
              <w:t>quy định trường hợp tổ chức tín dụng</w:t>
            </w:r>
            <w:r w:rsidRPr="00AF7630">
              <w:rPr>
                <w:rFonts w:ascii="Times New Roman" w:eastAsia="Times New Roman" w:hAnsi="Times New Roman" w:cs="Times New Roman"/>
                <w:i/>
                <w:sz w:val="24"/>
                <w:szCs w:val="24"/>
              </w:rPr>
              <w:t xml:space="preserve"> có thời gian phân bổ lãi phải thu phải thoái lớn hơn 05 năm nhưng không quá 10 năm trong trường hợp cần thiết;”</w:t>
            </w: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“2. C</w:t>
            </w:r>
            <w:r w:rsidRPr="00AF7630">
              <w:rPr>
                <w:rFonts w:ascii="Times New Roman" w:eastAsia="Times New Roman" w:hAnsi="Times New Roman" w:cs="Times New Roman"/>
                <w:i/>
                <w:sz w:val="24"/>
                <w:szCs w:val="24"/>
                <w:lang w:val="vi-VN"/>
              </w:rPr>
              <w:t>ác tài sản có</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của tổ chức tín dụng, chi nhánh ngân hàng nước ngoài</w:t>
            </w:r>
            <w:r w:rsidRPr="00AF7630">
              <w:rPr>
                <w:rFonts w:ascii="Times New Roman" w:eastAsia="Times New Roman" w:hAnsi="Times New Roman" w:cs="Times New Roman"/>
                <w:i/>
                <w:sz w:val="24"/>
                <w:szCs w:val="24"/>
              </w:rPr>
              <w:t xml:space="preserve"> là các tài sản có (sau đây gọi là nợ)</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 xml:space="preserve">phát sinh từ các hoạt </w:t>
            </w:r>
            <w:r w:rsidRPr="00AF7630">
              <w:rPr>
                <w:rFonts w:ascii="Times New Roman" w:eastAsia="Times New Roman" w:hAnsi="Times New Roman" w:cs="Times New Roman"/>
                <w:i/>
                <w:sz w:val="24"/>
                <w:szCs w:val="24"/>
              </w:rPr>
              <w:lastRenderedPageBreak/>
              <w:t>động sau:…”</w:t>
            </w:r>
          </w:p>
        </w:tc>
        <w:tc>
          <w:tcPr>
            <w:tcW w:w="5953" w:type="dxa"/>
          </w:tcPr>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Điều 1 Khoản 1 DTTT</w:t>
            </w:r>
          </w:p>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xuất bỏ cụm từ “trong hoạt động ngân hàng”.</w:t>
            </w:r>
          </w:p>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Lý do: DTTT quy định nguyên tắc phân loại nợ đối với cả (i) Các TCTD là ngân hàng và (ii) Các TCTD phi ngân hàng (công ty tài chính, công ty cho thuê tài chính). Việc sử dụng cụm từ “trong hoạt động ngân hàng” dễ gây hiểu </w:t>
            </w:r>
            <w:r w:rsidRPr="00AF7630">
              <w:rPr>
                <w:rFonts w:ascii="Times New Roman" w:eastAsia="Times New Roman" w:hAnsi="Times New Roman" w:cs="Times New Roman"/>
                <w:sz w:val="24"/>
                <w:szCs w:val="24"/>
              </w:rPr>
              <w:lastRenderedPageBreak/>
              <w:t>lầm về phạm vi áp dụng (không bao gồm TCTD phi ngân hàng).</w:t>
            </w:r>
          </w:p>
          <w:p w:rsidR="006B0D2A" w:rsidRPr="00AF7630" w:rsidRDefault="006B0D2A" w:rsidP="009478C7">
            <w:pPr>
              <w:jc w:val="both"/>
              <w:rPr>
                <w:rFonts w:ascii="Times New Roman" w:eastAsia="Times New Roman" w:hAnsi="Times New Roman" w:cs="Times New Roman"/>
                <w:sz w:val="24"/>
                <w:szCs w:val="24"/>
              </w:rPr>
            </w:pPr>
          </w:p>
        </w:tc>
        <w:tc>
          <w:tcPr>
            <w:tcW w:w="2268" w:type="dxa"/>
          </w:tcPr>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VCB</w:t>
            </w:r>
          </w:p>
        </w:tc>
        <w:tc>
          <w:tcPr>
            <w:tcW w:w="4677" w:type="dxa"/>
          </w:tcPr>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Khoản 2 Điều 1 và Điều 2 dự thảo Nghị định đã quy định rõ các hoạt động và đối tượng áp dụng.</w:t>
            </w: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2, 3, 4, 5 quy định về trình tự, hồ sơ áp dụng chính sách của Chi nhánh NHNNg.</w:t>
            </w:r>
          </w:p>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Nội dung này không phù hợp khi quy định tại Điều này </w:t>
            </w:r>
            <w:r w:rsidRPr="00AF7630">
              <w:rPr>
                <w:rFonts w:ascii="Times New Roman" w:eastAsia="Times New Roman" w:hAnsi="Times New Roman" w:cs="Times New Roman"/>
                <w:sz w:val="24"/>
                <w:szCs w:val="24"/>
              </w:rPr>
              <w:sym w:font="Wingdings" w:char="F0E0"/>
            </w:r>
            <w:r w:rsidRPr="00AF7630">
              <w:rPr>
                <w:rFonts w:ascii="Times New Roman" w:eastAsia="Times New Roman" w:hAnsi="Times New Roman" w:cs="Times New Roman"/>
                <w:sz w:val="24"/>
                <w:szCs w:val="24"/>
              </w:rPr>
              <w:t> Đề xuất cấu trúc lại thành điều riêng.</w:t>
            </w:r>
          </w:p>
        </w:tc>
        <w:tc>
          <w:tcPr>
            <w:tcW w:w="2268" w:type="dxa"/>
          </w:tcPr>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tcPr>
          <w:p w:rsidR="006B0D2A" w:rsidRPr="00AF7630" w:rsidRDefault="006B0D2A" w:rsidP="009478C7">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xml:space="preserve">Tiếp thu, </w:t>
            </w:r>
            <w:r w:rsidRPr="00AF7630">
              <w:rPr>
                <w:rFonts w:ascii="Times New Roman" w:eastAsia="Times New Roman" w:hAnsi="Times New Roman" w:cs="Times New Roman"/>
                <w:sz w:val="24"/>
                <w:szCs w:val="24"/>
              </w:rPr>
              <w:t>quy định thành điều riêng tại Điều 13 dự thảo Nghị định.</w:t>
            </w: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e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“e) Trả thay theo cam kết ngoại bảng (bao gồm các khoản bảo lãnh, thư tín dụng, chấp nhận thanh toán, cam kết cho vay không hủy ngang và các cam kết khác phát sinh rủi ro tín dụng);”</w:t>
            </w:r>
          </w:p>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675A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1 Khoản 1 Điểm n, o và Điều 1 Khoản 2 DTTT</w:t>
            </w:r>
          </w:p>
          <w:p w:rsidR="006B0D2A" w:rsidRPr="00AF7630" w:rsidRDefault="006B0D2A" w:rsidP="000675A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Thông tư 11 có phân tách (i) Khoản 1 Điều 1 quy định các tài sản có thực hiện phân loại nợ và trích lập DPRR; (ii) Khoản 2 Điều 1 quy định các tài sản có chỉ thực hiện phân loại nợ, không thực hiện trích lập DPRR. </w:t>
            </w:r>
          </w:p>
          <w:p w:rsidR="006B0D2A" w:rsidRPr="00AF7630" w:rsidRDefault="006B0D2A" w:rsidP="000675A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DTTT thay thế chỉ quy định về nguyên tắc phân loại nợ tài sản có.</w:t>
            </w:r>
          </w:p>
          <w:p w:rsidR="006B0D2A" w:rsidRPr="00AF7630" w:rsidRDefault="006B0D2A" w:rsidP="000675A2">
            <w:pPr>
              <w:ind w:hanging="2"/>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sym w:font="Wingdings" w:char="F0E0"/>
            </w:r>
            <w:r w:rsidRPr="00AF7630">
              <w:rPr>
                <w:rFonts w:ascii="Times New Roman" w:eastAsia="Times New Roman" w:hAnsi="Times New Roman" w:cs="Times New Roman"/>
                <w:sz w:val="24"/>
                <w:szCs w:val="24"/>
              </w:rPr>
              <w:t xml:space="preserve"> Đề xuất đưa nội dung quy định tại Khoản 2 lên Khoản 1 Điều 1 DTTT và sắp xếp lại cấu trúc văn bản để tránh trùng lặp (“Thư tín dụng” được quy định tại cả điểm n khoản 1 và khoản 2).</w:t>
            </w:r>
          </w:p>
          <w:p w:rsidR="006B0D2A" w:rsidRPr="00AF7630" w:rsidRDefault="006B0D2A" w:rsidP="000675A2">
            <w:pPr>
              <w:ind w:hanging="2"/>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sym w:font="Wingdings" w:char="F0E0"/>
            </w:r>
            <w:r w:rsidRPr="00AF7630">
              <w:rPr>
                <w:rFonts w:ascii="Times New Roman" w:eastAsia="Times New Roman" w:hAnsi="Times New Roman" w:cs="Times New Roman"/>
                <w:color w:val="000000"/>
                <w:sz w:val="24"/>
                <w:szCs w:val="24"/>
              </w:rPr>
              <w:t xml:space="preserve"> Đề xuất làm rõ cho vay để thanh toán L/C có bị tính vào số dư L/C không để cân nhắc giữ/loại bỏ tài sản có phát sinh từ nghiệp vụ “thư tín dụng” (do cam kết ngoại bảng chỉ thực hiện phân loại nợ, không thực hiện trích lập DPRR, không thuộc phạm vi của DTNĐ).</w:t>
            </w:r>
          </w:p>
        </w:tc>
        <w:tc>
          <w:tcPr>
            <w:tcW w:w="2268" w:type="dxa"/>
          </w:tcPr>
          <w:p w:rsidR="006B0D2A" w:rsidRPr="00AF7630" w:rsidRDefault="006B0D2A" w:rsidP="000675A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Chỉnh sửa quy định tại điểm e, n, o khoản 2 Điều 1 DTNĐ như sau:</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“e) Trả thay theo cam kết ngoại bảng (bao gồm khoản trả thay nghĩa vụ của khách hàng trong hoạt động bảo lãnh, </w:t>
            </w:r>
            <w:r w:rsidRPr="00AF7630">
              <w:rPr>
                <w:rFonts w:ascii="Times New Roman" w:eastAsia="Times New Roman" w:hAnsi="Times New Roman" w:cs="Times New Roman"/>
                <w:i/>
                <w:sz w:val="24"/>
                <w:szCs w:val="24"/>
                <w:u w:val="single"/>
              </w:rPr>
              <w:t>nghiệp vụ phát hành thư tín dụng, nghiệp vụ xác nhận thư tín dụng và các khoản trả thay khác theo cam kết ngoại bảng</w:t>
            </w:r>
            <w:r w:rsidRPr="00AF7630">
              <w:rPr>
                <w:rFonts w:ascii="Times New Roman" w:eastAsia="Times New Roman" w:hAnsi="Times New Roman" w:cs="Times New Roman"/>
                <w:i/>
                <w:sz w:val="24"/>
                <w:szCs w:val="24"/>
              </w:rPr>
              <w:t>);</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n) Nghiệp vụ phát hành thư tín dụng trả chậm có điều khoản thanh toán ngay cho bên thụ hưởng, nghiệp vụ thương lượng thanh toán thư tín dụng, nghiệp vụ hoàn trả thư tín dụng;</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o) Mua hẳn miễn truy đòi bộ chứng từ xuất trình theo thư tín dụng”</w:t>
            </w: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675A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Ngoài hoạt động “mua hẳn miễn truy đòi bộ chứng từ xuất trình theo thư tín dụng” quy định tại điểm o khoản 2 Điều 1 DTNĐ thì các dịch vụ khác liên quan đến thư tín dụng (như nghiệp vụ thanh toán trước hạn bộ chứng từ chưa đến hạn) có được coi là “tài sản có” hay không?</w:t>
            </w:r>
          </w:p>
        </w:tc>
        <w:tc>
          <w:tcPr>
            <w:tcW w:w="2268" w:type="dxa"/>
          </w:tcPr>
          <w:p w:rsidR="006B0D2A" w:rsidRPr="00AF7630" w:rsidRDefault="006B0D2A" w:rsidP="000675A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TPBank</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Việc bổ sung điểm e khoản 1 Điều 1 Dự thảo Nghị định căn cứ theo việc kế thừa quy định tại điểm e khoản 1, khoản 2 Điều 1 Thông tư 11/2021/TT-NHNN và có bổ sung thêm cụm từ “thư tín dụng” để phù hợp với quy định tại Luật Các Tổ chức tín dụng 2024. Tuy nhiên hiện tại trong Luật Các Tổ chức tín dụng 2024 không có định nghĩa cũng như quy định cụ thể về khái niệm “Chấp nhận thanh toán”.</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GPBank đề xuất bổ sung quy định </w:t>
            </w:r>
            <w:r w:rsidRPr="00AF7630">
              <w:rPr>
                <w:rFonts w:ascii="Times New Roman" w:eastAsia="Times New Roman" w:hAnsi="Times New Roman" w:cs="Times New Roman"/>
                <w:i/>
                <w:iCs/>
                <w:sz w:val="24"/>
                <w:szCs w:val="24"/>
              </w:rPr>
              <w:t xml:space="preserve">“chấp nhận </w:t>
            </w:r>
            <w:r w:rsidRPr="00AF7630">
              <w:rPr>
                <w:rFonts w:ascii="Times New Roman" w:eastAsia="Times New Roman" w:hAnsi="Times New Roman" w:cs="Times New Roman"/>
                <w:i/>
                <w:iCs/>
                <w:sz w:val="24"/>
                <w:szCs w:val="24"/>
              </w:rPr>
              <w:lastRenderedPageBreak/>
              <w:t>thanh toán”</w:t>
            </w:r>
            <w:r w:rsidRPr="00AF7630">
              <w:rPr>
                <w:rFonts w:ascii="Times New Roman" w:eastAsia="Times New Roman" w:hAnsi="Times New Roman" w:cs="Times New Roman"/>
                <w:sz w:val="24"/>
                <w:szCs w:val="24"/>
              </w:rPr>
              <w:t> trong nghiệp vụ </w:t>
            </w:r>
            <w:r w:rsidRPr="00AF7630">
              <w:rPr>
                <w:rFonts w:ascii="Times New Roman" w:eastAsia="Times New Roman" w:hAnsi="Times New Roman" w:cs="Times New Roman"/>
                <w:i/>
                <w:iCs/>
                <w:sz w:val="24"/>
                <w:szCs w:val="24"/>
              </w:rPr>
              <w:t>“Trả thay theo cam kết ngoại bảng”</w:t>
            </w:r>
            <w:r w:rsidRPr="00AF7630">
              <w:rPr>
                <w:rFonts w:ascii="Times New Roman" w:eastAsia="Times New Roman" w:hAnsi="Times New Roman" w:cs="Times New Roman"/>
                <w:sz w:val="24"/>
                <w:szCs w:val="24"/>
              </w:rPr>
              <w:t> quy định tại điểm e khoản 2 Điều 1 Dự thảo Nghị định.</w:t>
            </w:r>
          </w:p>
        </w:tc>
        <w:tc>
          <w:tcPr>
            <w:tcW w:w="2268" w:type="dxa"/>
          </w:tcPr>
          <w:p w:rsidR="006B0D2A" w:rsidRPr="00AF7630" w:rsidRDefault="006B0D2A" w:rsidP="0001557F">
            <w:pPr>
              <w:jc w:val="both"/>
              <w:rPr>
                <w:rFonts w:ascii="Times New Roman" w:eastAsia="Times New Roman" w:hAnsi="Times New Roman" w:cs="Times New Roman"/>
                <w:sz w:val="24"/>
                <w:szCs w:val="24"/>
                <w:lang w:val="vi-VN"/>
              </w:rPr>
            </w:pPr>
            <w:r w:rsidRPr="00AF7630">
              <w:rPr>
                <w:rFonts w:ascii="Times New Roman" w:eastAsia="Times New Roman" w:hAnsi="Times New Roman" w:cs="Times New Roman"/>
                <w:sz w:val="24"/>
                <w:szCs w:val="24"/>
              </w:rPr>
              <w:lastRenderedPageBreak/>
              <w:t>GPBank</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bCs/>
                <w:sz w:val="24"/>
                <w:szCs w:val="24"/>
              </w:rPr>
              <w:t>Đề xuất: “</w:t>
            </w:r>
            <w:r w:rsidRPr="00AF7630">
              <w:rPr>
                <w:rFonts w:ascii="Times New Roman" w:eastAsia="Times New Roman" w:hAnsi="Times New Roman" w:cs="Times New Roman"/>
                <w:sz w:val="24"/>
                <w:szCs w:val="24"/>
              </w:rPr>
              <w:t>Trả thay theo cam kết ngoại bảng </w:t>
            </w:r>
            <w:r w:rsidRPr="00AF7630">
              <w:rPr>
                <w:rFonts w:ascii="Times New Roman" w:eastAsia="Times New Roman" w:hAnsi="Times New Roman" w:cs="Times New Roman"/>
                <w:i/>
                <w:iCs/>
                <w:sz w:val="24"/>
                <w:szCs w:val="24"/>
              </w:rPr>
              <w:t>(bao gồm các khoản bảo lãnh, thư tín dụng, chấp nhận thanh toán, cam kết cho vay không hủy ngang và các cam kết khác phát sinh rủi ro tín dụng);”</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bCs/>
                <w:sz w:val="24"/>
                <w:szCs w:val="24"/>
              </w:rPr>
              <w:t>Lý do:</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Khi thực hiện cam kết cho vay không hủy ngang thì khoán cam kết sẽ trở nên khoản cho vay chứ không phải khoản “trả thay”</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Nội dung này không rõ “chấp nhận thanh toán” gắn với nghiệp vụ nào.</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Nhóm công tác ngân hàng</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g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“g) Mua và ủy thác mua trái phiếu doanh nghiệp (bao gồm cả trái phiếu do tổ chức tín dụng khác phát hành) chưa niêm yết trên thị trường chứng khoán </w:t>
            </w:r>
            <w:r w:rsidRPr="00AF7630">
              <w:rPr>
                <w:rFonts w:ascii="Times New Roman" w:eastAsia="Times New Roman" w:hAnsi="Times New Roman" w:cs="Times New Roman"/>
                <w:i/>
                <w:sz w:val="24"/>
                <w:szCs w:val="24"/>
                <w:lang w:val="vi-VN"/>
              </w:rPr>
              <w:t xml:space="preserve">hoặc chưa đăng ký giao dịch trên hệ thống giao dịch Upcom </w:t>
            </w:r>
            <w:r w:rsidRPr="00AF7630">
              <w:rPr>
                <w:rFonts w:ascii="Times New Roman" w:eastAsia="Times New Roman" w:hAnsi="Times New Roman" w:cs="Times New Roman"/>
                <w:i/>
                <w:sz w:val="24"/>
                <w:szCs w:val="24"/>
              </w:rPr>
              <w:t>(sau đây gọi là trái phiếu chưa niêm yết), không bao gồm mua trái phiếu chưa niêm yết bằng nguồn vốn ủy thác mà bên ủy thác chịu rủi ro;”</w:t>
            </w:r>
          </w:p>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sz w:val="24"/>
                <w:szCs w:val="24"/>
              </w:rPr>
              <w:t xml:space="preserve">Đề nghị bổ sung hoạt động </w:t>
            </w:r>
            <w:r w:rsidRPr="00AF7630">
              <w:rPr>
                <w:rFonts w:ascii="Times New Roman" w:hAnsi="Times New Roman" w:cs="Times New Roman"/>
                <w:i/>
                <w:sz w:val="24"/>
                <w:szCs w:val="24"/>
              </w:rPr>
              <w:t>“nắm giữ, đầu tư”</w:t>
            </w:r>
            <w:r w:rsidRPr="00AF7630">
              <w:rPr>
                <w:rFonts w:ascii="Times New Roman" w:hAnsi="Times New Roman" w:cs="Times New Roman"/>
                <w:sz w:val="24"/>
                <w:szCs w:val="24"/>
              </w:rPr>
              <w:t xml:space="preserve"> bên cạnh hoạt động </w:t>
            </w:r>
            <w:r w:rsidRPr="00AF7630">
              <w:rPr>
                <w:rFonts w:ascii="Times New Roman" w:hAnsi="Times New Roman" w:cs="Times New Roman"/>
                <w:i/>
                <w:sz w:val="24"/>
                <w:szCs w:val="24"/>
              </w:rPr>
              <w:t>“mua”</w:t>
            </w:r>
            <w:r w:rsidRPr="00AF7630">
              <w:rPr>
                <w:rFonts w:ascii="Times New Roman" w:hAnsi="Times New Roman" w:cs="Times New Roman"/>
                <w:sz w:val="24"/>
                <w:szCs w:val="24"/>
              </w:rPr>
              <w:t xml:space="preserve"> trái phiếu doanh nghiệp: “Mua, </w:t>
            </w:r>
            <w:r w:rsidRPr="00AF7630">
              <w:rPr>
                <w:rFonts w:ascii="Times New Roman" w:hAnsi="Times New Roman" w:cs="Times New Roman"/>
                <w:b/>
                <w:sz w:val="24"/>
                <w:szCs w:val="24"/>
              </w:rPr>
              <w:t>nắm giữ, đầu tư</w:t>
            </w:r>
            <w:r w:rsidRPr="00AF7630">
              <w:rPr>
                <w:rFonts w:ascii="Times New Roman" w:hAnsi="Times New Roman" w:cs="Times New Roman"/>
                <w:sz w:val="24"/>
                <w:szCs w:val="24"/>
              </w:rPr>
              <w:t xml:space="preserve"> và ủy thác mua trái phiếu doanh nghiệp (bao gồm cả trái phiếu do tổ chức tín dụng khác phát hành) chưa niêm yết trên thị trường chứng khoán </w:t>
            </w:r>
            <w:r w:rsidRPr="00AF7630">
              <w:rPr>
                <w:rFonts w:ascii="Times New Roman" w:eastAsia="Times New Roman" w:hAnsi="Times New Roman" w:cs="Times New Roman"/>
                <w:sz w:val="24"/>
                <w:szCs w:val="24"/>
              </w:rPr>
              <w:t xml:space="preserve">hoặc chưa đăng ký giao dịch trên hệ thống giao dịch Upcom </w:t>
            </w:r>
            <w:r w:rsidRPr="00AF7630">
              <w:rPr>
                <w:rFonts w:ascii="Times New Roman" w:hAnsi="Times New Roman" w:cs="Times New Roman"/>
                <w:sz w:val="24"/>
                <w:szCs w:val="24"/>
              </w:rPr>
              <w:t>(sau đây gọi là trái phiếu chưa niêm yết), không bao gồm mua trái phiếu chưa niêm yết bằng nguồn vốn ủy thác mà bên ủy thác chịu rủi ro”.</w:t>
            </w:r>
          </w:p>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sz w:val="24"/>
                <w:szCs w:val="24"/>
              </w:rPr>
              <w:t>Lý do đề nghị: Để phù hợp với Khoản 4 Điều 136 Luật TCTD năm 2024 “Tổng mức dư nợ cấp tín dụng quy định tại khoản 1 hoặc khoản 2 Điều này bao gồm cả tổng mức mua, nắm giữ, đầu tư vào trái phiếu do khách hàng, người có liên quan của khách hàng đó phát hành.”</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TPBank</w:t>
            </w:r>
          </w:p>
        </w:tc>
        <w:tc>
          <w:tcPr>
            <w:tcW w:w="4677" w:type="dxa"/>
          </w:tcPr>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b/>
                <w:sz w:val="24"/>
                <w:szCs w:val="24"/>
              </w:rPr>
              <w:t xml:space="preserve">Không tiếp thu, </w:t>
            </w:r>
            <w:r w:rsidRPr="00AF7630">
              <w:rPr>
                <w:rFonts w:ascii="Times New Roman" w:eastAsia="Times New Roman" w:hAnsi="Times New Roman" w:cs="Times New Roman"/>
                <w:sz w:val="24"/>
                <w:szCs w:val="24"/>
              </w:rPr>
              <w:t>về bản chất việc mua đã bao gồm việc nắm giữ và đầu tư.</w:t>
            </w: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1 Khoản 1 Điểm g DTTT</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xuất làm rõ có bao gồm TPDN được chào bán ra thị trường quốc tế?</w:t>
            </w:r>
          </w:p>
          <w:p w:rsidR="006B0D2A" w:rsidRPr="00AF7630" w:rsidRDefault="006B0D2A" w:rsidP="0001557F">
            <w:pPr>
              <w:jc w:val="both"/>
              <w:rPr>
                <w:rFonts w:ascii="Times New Roman" w:hAnsi="Times New Roman" w:cs="Times New Roman"/>
                <w:sz w:val="24"/>
                <w:szCs w:val="24"/>
              </w:rPr>
            </w:pPr>
            <w:r w:rsidRPr="00AF7630">
              <w:rPr>
                <w:rFonts w:ascii="Times New Roman" w:eastAsia="Times New Roman" w:hAnsi="Times New Roman" w:cs="Times New Roman"/>
                <w:sz w:val="24"/>
                <w:szCs w:val="24"/>
              </w:rPr>
              <w:t>Lý do: phù hợp với quy định pháp luật về chào bán, giao dịch TPDN riêng lẻ tại thị trường trong nước và chào bán ra thị trường quốc tế và Thông tư của NHNN về đầu tư gián tiếp ra nước ngoài.</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tcPr>
          <w:p w:rsidR="006B0D2A" w:rsidRPr="00AF7630" w:rsidRDefault="006B0D2A"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Dự thảo Nghị định chỉ áp dụng đối với trái phiếu doanh nghiệp chưa niêm yết (bao gồm cả trái phiếu doanh nghiệp được chào bán ra thị trường quốc tế mà chưa niêm yết)</w:t>
            </w: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sz w:val="24"/>
                <w:szCs w:val="24"/>
              </w:rPr>
              <w:t>Sửa đổi Điểm g, Khoản 2, Điều 1 của Dự thảo như sau:</w:t>
            </w:r>
          </w:p>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b/>
                <w:bCs/>
                <w:sz w:val="24"/>
                <w:szCs w:val="24"/>
              </w:rPr>
              <w:t>“</w:t>
            </w:r>
            <w:r w:rsidRPr="00AF7630">
              <w:rPr>
                <w:rFonts w:ascii="Times New Roman" w:hAnsi="Times New Roman" w:cs="Times New Roman"/>
                <w:sz w:val="24"/>
                <w:szCs w:val="24"/>
              </w:rPr>
              <w:t>…</w:t>
            </w:r>
            <w:r w:rsidRPr="00AF7630">
              <w:rPr>
                <w:rFonts w:ascii="Times New Roman" w:hAnsi="Times New Roman" w:cs="Times New Roman"/>
                <w:i/>
                <w:iCs/>
                <w:sz w:val="24"/>
                <w:szCs w:val="24"/>
              </w:rPr>
              <w:t xml:space="preserve">g) Mua và ủy thác mua trái phiếu doanh nghiệp (bao gồm cả trái phiếu do tổ chức tín dụng khác phát hành) </w:t>
            </w:r>
            <w:r w:rsidRPr="00AF7630">
              <w:rPr>
                <w:rFonts w:ascii="Times New Roman" w:hAnsi="Times New Roman" w:cs="Times New Roman"/>
                <w:i/>
                <w:iCs/>
                <w:sz w:val="24"/>
                <w:szCs w:val="24"/>
              </w:rPr>
              <w:lastRenderedPageBreak/>
              <w:t>chưa niêm yết trên thị trường chứng khoán hoặc chưa đăng ký giao dịch trên hệ thống giao dịch Upcom </w:t>
            </w:r>
            <w:r w:rsidRPr="00AF7630">
              <w:rPr>
                <w:rFonts w:ascii="Times New Roman" w:hAnsi="Times New Roman" w:cs="Times New Roman"/>
                <w:b/>
                <w:bCs/>
                <w:i/>
                <w:iCs/>
                <w:sz w:val="24"/>
                <w:szCs w:val="24"/>
              </w:rPr>
              <w:t>hoặc</w:t>
            </w:r>
            <w:r w:rsidRPr="00AF7630">
              <w:rPr>
                <w:rFonts w:ascii="Times New Roman" w:hAnsi="Times New Roman" w:cs="Times New Roman"/>
                <w:i/>
                <w:iCs/>
                <w:sz w:val="24"/>
                <w:szCs w:val="24"/>
              </w:rPr>
              <w:t> </w:t>
            </w:r>
            <w:r w:rsidRPr="00AF7630">
              <w:rPr>
                <w:rFonts w:ascii="Times New Roman" w:hAnsi="Times New Roman" w:cs="Times New Roman"/>
                <w:b/>
                <w:bCs/>
                <w:i/>
                <w:iCs/>
                <w:sz w:val="24"/>
                <w:szCs w:val="24"/>
              </w:rPr>
              <w:t>chưa đăng ký giao dịch trái phiếu trên hệ thống giao dịch trái phiếu doanh nghiệp chào bán riêng lẻ tại Sở giao dịch chứng khoán </w:t>
            </w:r>
            <w:r w:rsidRPr="00AF7630">
              <w:rPr>
                <w:rFonts w:ascii="Times New Roman" w:hAnsi="Times New Roman" w:cs="Times New Roman"/>
                <w:i/>
                <w:iCs/>
                <w:sz w:val="24"/>
                <w:szCs w:val="24"/>
              </w:rPr>
              <w:t>(sau đây gọi là trái phiếu chưa niêm yết), không bao gồm mua trái phiếu chưa niêm yết bằng nguồn vốn ủy thác mà bên ủy thác chịu rủi ro;”</w:t>
            </w:r>
          </w:p>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b/>
                <w:bCs/>
                <w:sz w:val="24"/>
                <w:szCs w:val="24"/>
              </w:rPr>
              <w:t>-</w:t>
            </w:r>
            <w:r w:rsidRPr="00AF7630">
              <w:rPr>
                <w:rFonts w:ascii="Times New Roman" w:hAnsi="Times New Roman" w:cs="Times New Roman"/>
                <w:sz w:val="24"/>
                <w:szCs w:val="24"/>
              </w:rPr>
              <w:t>     </w:t>
            </w:r>
            <w:r w:rsidRPr="00AF7630">
              <w:rPr>
                <w:rFonts w:ascii="Times New Roman" w:hAnsi="Times New Roman" w:cs="Times New Roman"/>
                <w:b/>
                <w:bCs/>
                <w:i/>
                <w:iCs/>
                <w:sz w:val="24"/>
                <w:szCs w:val="24"/>
              </w:rPr>
              <w:t>Lý do đề xuất</w:t>
            </w:r>
            <w:r w:rsidRPr="00AF7630">
              <w:rPr>
                <w:rFonts w:ascii="Times New Roman" w:hAnsi="Times New Roman" w:cs="Times New Roman"/>
                <w:b/>
                <w:bCs/>
                <w:sz w:val="24"/>
                <w:szCs w:val="24"/>
              </w:rPr>
              <w:t>:</w:t>
            </w:r>
          </w:p>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i/>
                <w:iCs/>
                <w:sz w:val="24"/>
                <w:szCs w:val="24"/>
              </w:rPr>
              <w:t>·</w:t>
            </w:r>
            <w:r w:rsidRPr="00AF7630">
              <w:rPr>
                <w:rFonts w:ascii="Times New Roman" w:hAnsi="Times New Roman" w:cs="Times New Roman"/>
                <w:sz w:val="24"/>
                <w:szCs w:val="24"/>
              </w:rPr>
              <w:t>     Theo quy định tại Khoản 35, Điều 3 – Nghị định 155/2020/NĐ-CP thì </w:t>
            </w:r>
            <w:r w:rsidRPr="00AF7630">
              <w:rPr>
                <w:rFonts w:ascii="Times New Roman" w:hAnsi="Times New Roman" w:cs="Times New Roman"/>
                <w:i/>
                <w:iCs/>
                <w:sz w:val="24"/>
                <w:szCs w:val="24"/>
              </w:rPr>
              <w:t>Hệ thống giao dịch Upcom là hệ thống giao dịch </w:t>
            </w:r>
            <w:r w:rsidRPr="00AF7630">
              <w:rPr>
                <w:rFonts w:ascii="Times New Roman" w:hAnsi="Times New Roman" w:cs="Times New Roman"/>
                <w:b/>
                <w:bCs/>
                <w:i/>
                <w:iCs/>
                <w:sz w:val="24"/>
                <w:szCs w:val="24"/>
              </w:rPr>
              <w:t>cho chứng khoán chưa niêm yết</w:t>
            </w:r>
            <w:r w:rsidRPr="00AF7630">
              <w:rPr>
                <w:rFonts w:ascii="Times New Roman" w:hAnsi="Times New Roman" w:cs="Times New Roman"/>
                <w:i/>
                <w:iCs/>
                <w:sz w:val="24"/>
                <w:szCs w:val="24"/>
              </w:rPr>
              <w:t> do Sở giao dịch chứng khoán tổ chức, vận hành.</w:t>
            </w:r>
          </w:p>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sz w:val="24"/>
                <w:szCs w:val="24"/>
              </w:rPr>
              <w:t>·     Bên cạnh đó, theo quy định tại Điều 16 – Nghị định 153/2020/NĐ-CP (được sửa đổi, bổ sung bởi Nghị định 65/2022/NĐ-CP) thì đưa ra yêu cầu </w:t>
            </w:r>
            <w:r w:rsidRPr="00AF7630">
              <w:rPr>
                <w:rFonts w:ascii="Times New Roman" w:hAnsi="Times New Roman" w:cs="Times New Roman"/>
                <w:i/>
                <w:iCs/>
                <w:sz w:val="24"/>
                <w:szCs w:val="24"/>
              </w:rPr>
              <w:t>“Doanh nghiệp phải đăng ký giao dịch trái phiếu đã phát hành trên </w:t>
            </w:r>
            <w:r w:rsidRPr="00AF7630">
              <w:rPr>
                <w:rFonts w:ascii="Times New Roman" w:hAnsi="Times New Roman" w:cs="Times New Roman"/>
                <w:b/>
                <w:bCs/>
                <w:i/>
                <w:iCs/>
                <w:sz w:val="24"/>
                <w:szCs w:val="24"/>
              </w:rPr>
              <w:t>hệ</w:t>
            </w:r>
            <w:r w:rsidRPr="00AF7630">
              <w:rPr>
                <w:rFonts w:ascii="Times New Roman" w:hAnsi="Times New Roman" w:cs="Times New Roman"/>
                <w:i/>
                <w:iCs/>
                <w:sz w:val="24"/>
                <w:szCs w:val="24"/>
              </w:rPr>
              <w:t> </w:t>
            </w:r>
            <w:r w:rsidRPr="00AF7630">
              <w:rPr>
                <w:rFonts w:ascii="Times New Roman" w:hAnsi="Times New Roman" w:cs="Times New Roman"/>
                <w:b/>
                <w:bCs/>
                <w:i/>
                <w:iCs/>
                <w:sz w:val="24"/>
                <w:szCs w:val="24"/>
              </w:rPr>
              <w:t>thống giao dịch trái phiếu doanh nghiệp chào bán riêng lẻ tại Sở giao dịch chứng khoán</w:t>
            </w:r>
            <w:r w:rsidRPr="00AF7630">
              <w:rPr>
                <w:rFonts w:ascii="Times New Roman" w:hAnsi="Times New Roman" w:cs="Times New Roman"/>
                <w:i/>
                <w:iCs/>
                <w:sz w:val="24"/>
                <w:szCs w:val="24"/>
              </w:rPr>
              <w:t>…”</w:t>
            </w:r>
          </w:p>
          <w:p w:rsidR="006B0D2A" w:rsidRPr="00AF7630" w:rsidRDefault="006B0D2A" w:rsidP="0001557F">
            <w:pPr>
              <w:jc w:val="both"/>
              <w:rPr>
                <w:rFonts w:ascii="Times New Roman" w:hAnsi="Times New Roman" w:cs="Times New Roman"/>
                <w:sz w:val="24"/>
                <w:szCs w:val="24"/>
              </w:rPr>
            </w:pPr>
            <w:r w:rsidRPr="00AF7630">
              <w:rPr>
                <w:rFonts w:ascii="Times New Roman" w:hAnsi="Times New Roman" w:cs="Times New Roman"/>
                <w:sz w:val="24"/>
                <w:szCs w:val="24"/>
              </w:rPr>
              <w:t>Từ các nội dung trên cần điều chỉnh để bổ sung thêm nội dung liên quan đến các trái phiếu doanh nghiệp chào bán riêng lẻ tại Sở giao dịch chứng khoán tại Dự thảo để phù hợp với các quy định pháp luật có liên quan khác.</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VPBank</w:t>
            </w:r>
          </w:p>
        </w:tc>
        <w:tc>
          <w:tcPr>
            <w:tcW w:w="4677"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CQTTGSNH không tiếp thu ý kiến của TCTD vì về bản chất trái phiếu doanh nghiệp chưa niêm yết (phát hành riêng lẻ) vẫn có rủi ro </w:t>
            </w:r>
            <w:r w:rsidRPr="00AF7630">
              <w:rPr>
                <w:rFonts w:ascii="Times New Roman" w:eastAsia="Times New Roman" w:hAnsi="Times New Roman" w:cs="Times New Roman"/>
                <w:sz w:val="24"/>
                <w:szCs w:val="24"/>
              </w:rPr>
              <w:lastRenderedPageBreak/>
              <w:t>chính là xuất phát từ rủi ro tín dụng, trong khi rủi ro thị trường xuất phát từ việc biến động giá của trái phiếu không phải là rủi ro trọng yếu.​</w:t>
            </w: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Điểm i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“i) Gửi tiền (trừ tiền gửi thanh toán, tiền gửi tại ngân hàng chính sách xã hội theo quy định của Ngân hàng Nhà nước Việt Nam (sau đây gọi là Ngân hàng Nhà nước) về việc các tổ chức tín dụng nhà nước duy trì số dư tiền gửi tại ngân hàng chính sách xã hội) tại tổ chức tín dụng, chi nhánh ngân hàng nước ngoài theo quy định của pháp luật và gửi tiền tại </w:t>
            </w:r>
            <w:r w:rsidRPr="00AF7630">
              <w:rPr>
                <w:rFonts w:ascii="Times New Roman" w:eastAsia="Times New Roman" w:hAnsi="Times New Roman" w:cs="Times New Roman"/>
                <w:i/>
                <w:sz w:val="24"/>
                <w:szCs w:val="24"/>
              </w:rPr>
              <w:lastRenderedPageBreak/>
              <w:t>tổ chức tín dụng ở nước ngoài;”</w:t>
            </w: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Kiến nghị Ban soạn thảo làm rõ:</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Cụm từ </w:t>
            </w:r>
            <w:r w:rsidRPr="00AF7630">
              <w:rPr>
                <w:rFonts w:ascii="Times New Roman" w:eastAsia="Times New Roman" w:hAnsi="Times New Roman" w:cs="Times New Roman"/>
                <w:bCs/>
                <w:i/>
                <w:iCs/>
                <w:sz w:val="24"/>
                <w:szCs w:val="24"/>
              </w:rPr>
              <w:t>“theo quy định của Ngân hàng Nhà nước Việt Nam (sau đây gọi là Ngân hàng Nhà nước) về việc các tổ chức tín dụng nhà nước duy trì số dư tiền gửi tại ngân hàng chính sách xã hội) tại tổ chức tín dụng, chi nhánh ngân hàng nước ngoài”</w:t>
            </w:r>
            <w:r w:rsidRPr="00AF7630">
              <w:rPr>
                <w:rFonts w:ascii="Times New Roman" w:eastAsia="Times New Roman" w:hAnsi="Times New Roman" w:cs="Times New Roman"/>
                <w:bCs/>
                <w:sz w:val="24"/>
                <w:szCs w:val="24"/>
              </w:rPr>
              <w:t> chỉ bổ nghĩa cho cụm từ </w:t>
            </w:r>
            <w:r w:rsidRPr="00AF7630">
              <w:rPr>
                <w:rFonts w:ascii="Times New Roman" w:eastAsia="Times New Roman" w:hAnsi="Times New Roman" w:cs="Times New Roman"/>
                <w:bCs/>
                <w:i/>
                <w:iCs/>
                <w:sz w:val="24"/>
                <w:szCs w:val="24"/>
              </w:rPr>
              <w:t>“tiền gửi tại ngân hàng chính sách xã hội”</w:t>
            </w:r>
            <w:r w:rsidRPr="00AF7630">
              <w:rPr>
                <w:rFonts w:ascii="Times New Roman" w:eastAsia="Times New Roman" w:hAnsi="Times New Roman" w:cs="Times New Roman"/>
                <w:bCs/>
                <w:sz w:val="24"/>
                <w:szCs w:val="24"/>
              </w:rPr>
              <w:t> hay bổ nghĩa cho cả cụm từ “</w:t>
            </w:r>
            <w:r w:rsidRPr="00AF7630">
              <w:rPr>
                <w:rFonts w:ascii="Times New Roman" w:eastAsia="Times New Roman" w:hAnsi="Times New Roman" w:cs="Times New Roman"/>
                <w:bCs/>
                <w:i/>
                <w:iCs/>
                <w:sz w:val="24"/>
                <w:szCs w:val="24"/>
              </w:rPr>
              <w:t>tiền gửi thanh toán</w:t>
            </w:r>
            <w:r w:rsidRPr="00AF7630">
              <w:rPr>
                <w:rFonts w:ascii="Times New Roman" w:eastAsia="Times New Roman" w:hAnsi="Times New Roman" w:cs="Times New Roman"/>
                <w:bCs/>
                <w:sz w:val="24"/>
                <w:szCs w:val="24"/>
              </w:rPr>
              <w:t>”?</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Nếu là bổ nghĩa cho cụm từ “tiền gửi thanh toán” thì tiền gửi thanh toán này tại đây được hiểu như thế nào? Thuật ngữ “tiền gửi thanh toán” chỉ xuất hiện trong Quyết định số 1284 /2002/QĐ-NHNN ngày 21/12/2002 của Thống đốc Ngân hàng Nhà nước tuy nhiên Quyết định này đã hết hiệu lực do bị thay thế bởi Thông tư 23/2014/TT-NHNN ngày 19/8/2014 của Ngân hàng Nhà nước Việt Nam hướng dẫn </w:t>
            </w:r>
            <w:r w:rsidRPr="00AF7630">
              <w:rPr>
                <w:rFonts w:ascii="Times New Roman" w:eastAsia="Times New Roman" w:hAnsi="Times New Roman" w:cs="Times New Roman"/>
                <w:bCs/>
                <w:sz w:val="24"/>
                <w:szCs w:val="24"/>
              </w:rPr>
              <w:lastRenderedPageBreak/>
              <w:t>việc mở và sử dụng tài khoản thanh toán tại tổ chức cung ứng dịch vụ thanh toán (gọi tắt là “Thông tư 23/2014/TT-NHNN”). Thông tư 23/2014/TT-NHNN hiện đã không còn sử dụng thuật ngữ này.</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Có phải ý của Ban soạn thảo “tiền gửi thanh toán” chính là “số dư trên tài khoản thanh toán”? Nếu vậy, kiến nghị Ban soạn thảo sửa lại cách viết, làm rõ lại thuật ngữ này.</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PGBank</w:t>
            </w:r>
          </w:p>
        </w:tc>
        <w:tc>
          <w:tcPr>
            <w:tcW w:w="4677"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Quy định về việc các TCTD nhà nước duy trì số dư tiền gửi tại ngân hàng chính sách xã hội không bổ nghĩa cho cụm từ tiền gửi thanh toán.</w:t>
            </w:r>
          </w:p>
          <w:p w:rsidR="006B0D2A" w:rsidRPr="00AF7630" w:rsidRDefault="006B0D2A" w:rsidP="00DA08E9">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Tiếp thu một phần</w:t>
            </w:r>
            <w:r w:rsidRPr="00AF7630">
              <w:rPr>
                <w:rFonts w:ascii="Times New Roman" w:eastAsia="Times New Roman" w:hAnsi="Times New Roman" w:cs="Times New Roman"/>
                <w:sz w:val="24"/>
                <w:szCs w:val="24"/>
              </w:rPr>
              <w:t>, trên cơ sở quy định tại khoản 27 và khoản 35 Điều 4 Luật các TCTD về khái niệm “nhận tiền gửi” và “t</w:t>
            </w:r>
            <w:r w:rsidRPr="00AF7630">
              <w:rPr>
                <w:rFonts w:ascii="Times New Roman" w:eastAsia="Times New Roman" w:hAnsi="Times New Roman" w:cs="Times New Roman"/>
                <w:iCs/>
                <w:sz w:val="24"/>
                <w:szCs w:val="24"/>
              </w:rPr>
              <w:t>ài khoản thanh toán</w:t>
            </w:r>
            <w:r w:rsidRPr="00AF7630">
              <w:rPr>
                <w:rFonts w:ascii="Times New Roman" w:eastAsia="Times New Roman" w:hAnsi="Times New Roman" w:cs="Times New Roman"/>
                <w:sz w:val="24"/>
                <w:szCs w:val="24"/>
              </w:rPr>
              <w:t>”, đồng thời xuất phát từ bản chất tiền gửi không kỳ hạn là không có thời hạn gửi tiền, điểm i khoản 2 Điều 1 dự thảo Nghị định được chỉnh sửa như sau:</w:t>
            </w:r>
          </w:p>
          <w:p w:rsidR="006B0D2A" w:rsidRPr="00AF7630" w:rsidRDefault="006B0D2A" w:rsidP="00DA08E9">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 xml:space="preserve">“i) Gửi tiền (trừ tiền gửi thanh toán </w:t>
            </w:r>
            <w:r w:rsidRPr="00AF7630">
              <w:rPr>
                <w:rFonts w:ascii="Times New Roman" w:eastAsia="Times New Roman" w:hAnsi="Times New Roman" w:cs="Times New Roman"/>
                <w:i/>
                <w:sz w:val="24"/>
                <w:szCs w:val="24"/>
                <w:u w:val="single"/>
              </w:rPr>
              <w:t>không kỳ hạn tại tổ chức tín dụng, chi nhánh ngân hàng nước ngoài</w:t>
            </w:r>
            <w:r w:rsidRPr="00AF7630">
              <w:rPr>
                <w:rFonts w:ascii="Times New Roman" w:eastAsia="Times New Roman" w:hAnsi="Times New Roman" w:cs="Times New Roman"/>
                <w:i/>
                <w:sz w:val="24"/>
                <w:szCs w:val="24"/>
              </w:rPr>
              <w:t xml:space="preserve">, tiền gửi tại ngân hàng chính sách xã hội theo quy định của Ngân hàng Nhà </w:t>
            </w:r>
            <w:r w:rsidRPr="00AF7630">
              <w:rPr>
                <w:rFonts w:ascii="Times New Roman" w:eastAsia="Times New Roman" w:hAnsi="Times New Roman" w:cs="Times New Roman"/>
                <w:i/>
                <w:sz w:val="24"/>
                <w:szCs w:val="24"/>
              </w:rPr>
              <w:lastRenderedPageBreak/>
              <w:t>nước Việt Nam (sau đây gọi là Ngân hàng Nhà nước) về việc các tổ chức tín dụng nhà nước duy trì số dư tiền gửi tại ngân hàng chính sách xã hội) tại tổ chức tín dụng, chi nhánh ngân hàng nước ngoài theo quy định của pháp luật và gửi tiền (</w:t>
            </w:r>
            <w:r w:rsidRPr="00AF7630">
              <w:rPr>
                <w:rFonts w:ascii="Times New Roman" w:eastAsia="Times New Roman" w:hAnsi="Times New Roman" w:cs="Times New Roman"/>
                <w:i/>
                <w:sz w:val="24"/>
                <w:szCs w:val="24"/>
                <w:u w:val="single"/>
              </w:rPr>
              <w:t>trừ tiền gửi không kỳ hạn</w:t>
            </w:r>
            <w:r w:rsidRPr="00AF7630">
              <w:rPr>
                <w:rFonts w:ascii="Times New Roman" w:eastAsia="Times New Roman" w:hAnsi="Times New Roman" w:cs="Times New Roman"/>
                <w:i/>
                <w:sz w:val="24"/>
                <w:szCs w:val="24"/>
              </w:rPr>
              <w:t>) tại tổ chức tín dụng ở nước ngoài;”</w:t>
            </w: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Đề xuất làm rõ tiền gửi tại TCTD nước ngoài không gồm tiền gửi thanh toán (Nostro) và tiền gửi chuyên dụng. </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sz w:val="24"/>
                <w:szCs w:val="24"/>
              </w:rPr>
              <w:t>Lý do: Loại tiền gửi này thay đổi liên tục và thường là không kỳ hạn nên không có thời hạn để phân loại định lượng (sửa đổi tương ứng tại DTNĐ quy định về trích lập DPRR).</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vMerge/>
          </w:tcPr>
          <w:p w:rsidR="006B0D2A" w:rsidRPr="00AF7630" w:rsidRDefault="006B0D2A" w:rsidP="0001557F">
            <w:pPr>
              <w:jc w:val="both"/>
              <w:rPr>
                <w:rFonts w:ascii="Times New Roman" w:eastAsia="Times New Roman" w:hAnsi="Times New Roman" w:cs="Times New Roman"/>
                <w:b/>
                <w:sz w:val="24"/>
                <w:szCs w:val="24"/>
              </w:rPr>
            </w:pP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k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“k) Mua, bán nợ theo quy định của Ngân hàng Nhà nước về hoạt động mua, bán nợ, trừ hoạt động mua, bán nợ xấu của tổ chức tín dụng, chi nhánh ngân hàng nước ngoài với Công ty quản lý tài sản của các tổ chức tín dụng Việt Nam;”</w:t>
            </w:r>
          </w:p>
        </w:tc>
        <w:tc>
          <w:tcPr>
            <w:tcW w:w="5953" w:type="dxa"/>
          </w:tcPr>
          <w:p w:rsidR="006B0D2A" w:rsidRPr="00AF7630" w:rsidRDefault="006B0D2A" w:rsidP="00356234">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xml:space="preserve">Điểm k khoản 2 Điều 1 dự thảo Nghị định quy định các tài sản có của tổ chức tín dụng, ngân hàng nước ngoài phát sinh từ hoạt động mua bán nợ theo quy định của Ngân hàng Nhà nước về hoạt động mua bán nợ, “trừ hoạt động mua, bán nợ của tố chức tín dụng, chỉ nhánh ngân hàng nước ngoài với Công ty quản lý tài sản của các to chức tín dụng Việt Nam Đê nghị cân nhăc việc quy định loại trừ như nêu trên vì Điều 47 Thông tư số 19/2013/TT-NHNN ngày 06/9/2013 về việc mua, bán và xử lý nợ xấu của Công ty Quản lý tài sản của các tổ chức tín dụng Việt Nam (VAMC) quy định thực hiện việc phân loại, trích lập và sử dụng dự phòng rủi ro để xử lý đối vói số tiền đã thanh toán mua khoản nợ xấu theo quy định của Ngân hàng Nhà nước về phân loại tài sản có, mức trích, phưong pháp trích lập dự phòng rủi ro tín dụng và việc sử dụng dự phòng đế xử lý rủi ro tín dụng trong hoạt động đối với tổ chức tín dụng, chi nhánh ngân hàng nước ngoài và hiện nay Luật Các Tổ chức tín dụng đã giao Chính phủ quy định cụ thể việc phân loại, trích lập, sử dụng dự phòng rủi ro nói chung, trong đó bao gồm trích lập dự phòng rủi ro để xử lý đối với số tiền đã thanh toán mua bán khoản nợ xấu. Trường hợp loại trừ thì cần xác định hoạt động mua, bán nợ xấu của tổ chúc tín dụng, chi nhánh ngân hàng nước ngoài với VAMC thực hiện theo quy định nào hoặc cân nhắc phương án bổ sung </w:t>
            </w:r>
            <w:r w:rsidRPr="00AF7630">
              <w:rPr>
                <w:rFonts w:ascii="Times New Roman" w:eastAsia="Times New Roman" w:hAnsi="Times New Roman" w:cs="Times New Roman"/>
                <w:color w:val="000000"/>
                <w:sz w:val="24"/>
                <w:szCs w:val="24"/>
              </w:rPr>
              <w:lastRenderedPageBreak/>
              <w:t xml:space="preserve">quy định cụ thể đối với hoạt động này tại dự thảo Nghị định. </w:t>
            </w:r>
          </w:p>
        </w:tc>
        <w:tc>
          <w:tcPr>
            <w:tcW w:w="2268" w:type="dxa"/>
          </w:tcPr>
          <w:p w:rsidR="006B0D2A" w:rsidRPr="00AF7630" w:rsidRDefault="006B0D2A" w:rsidP="00356234">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Bộ Công an</w:t>
            </w:r>
          </w:p>
        </w:tc>
        <w:tc>
          <w:tcPr>
            <w:tcW w:w="4677" w:type="dxa"/>
            <w:vMerge w:val="restart"/>
          </w:tcPr>
          <w:p w:rsidR="006B0D2A" w:rsidRPr="00AF7630" w:rsidRDefault="006B0D2A" w:rsidP="007D7258">
            <w:pPr>
              <w:jc w:val="both"/>
              <w:rPr>
                <w:rFonts w:ascii="Times New Roman" w:eastAsia="Times New Roman" w:hAnsi="Times New Roman" w:cs="Times New Roman"/>
                <w:i/>
                <w:sz w:val="24"/>
                <w:szCs w:val="24"/>
              </w:rPr>
            </w:pPr>
            <w:r w:rsidRPr="00AF7630">
              <w:rPr>
                <w:rFonts w:ascii="Times New Roman" w:eastAsia="Times New Roman" w:hAnsi="Times New Roman" w:cs="Times New Roman"/>
                <w:b/>
                <w:sz w:val="24"/>
                <w:szCs w:val="24"/>
              </w:rPr>
              <w:t xml:space="preserve">Tiếp thu, </w:t>
            </w:r>
            <w:r w:rsidRPr="00AF7630">
              <w:rPr>
                <w:rFonts w:ascii="Times New Roman" w:eastAsia="Times New Roman" w:hAnsi="Times New Roman" w:cs="Times New Roman"/>
                <w:sz w:val="24"/>
                <w:szCs w:val="24"/>
              </w:rPr>
              <w:t xml:space="preserve">chỉnh sửa điểm k khoản 1 theo hướng không loại trừ hoạt động mua bán nợ xấu theo giá trị thị trường của TCTD, chi nhánh NHNg với Công </w:t>
            </w:r>
            <w:r w:rsidRPr="00AF7630">
              <w:rPr>
                <w:rFonts w:ascii="Times New Roman" w:eastAsia="Times New Roman" w:hAnsi="Times New Roman" w:cs="Times New Roman"/>
                <w:sz w:val="24"/>
                <w:szCs w:val="24"/>
              </w:rPr>
              <w:br w:type="column"/>
              <w:t>ty Quản lý tài sản của TCTD Việt Nam (VAMC), cụ thể như sau: “</w:t>
            </w:r>
            <w:r w:rsidRPr="00AF7630">
              <w:rPr>
                <w:rFonts w:ascii="Times New Roman" w:eastAsia="Times New Roman" w:hAnsi="Times New Roman" w:cs="Times New Roman"/>
                <w:i/>
                <w:sz w:val="24"/>
                <w:szCs w:val="24"/>
              </w:rPr>
              <w:t>k) Mua, bán nợ theo quy định của Ngân hàng Nhà nước.”.</w:t>
            </w:r>
          </w:p>
          <w:p w:rsidR="006B0D2A" w:rsidRPr="00AF7630" w:rsidRDefault="006B0D2A" w:rsidP="007D7258">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quy định nêu trên được hiểu việc trích lập dự phòng đối với hoạt động mua, bán nợ theo quy định của NHNN bao gồm cả việc trích lập dự phòng đối với hoạt động mua, bán nợ xấu theo giá trị thị trường giữa các TCTD, chi nhánh NHNg và VAMC.</w:t>
            </w:r>
          </w:p>
          <w:p w:rsidR="006B0D2A" w:rsidRPr="00AF7630" w:rsidRDefault="006B0D2A" w:rsidP="007D7258">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Riêng đối với hoạt động mua bán nợ bằng trái phiếu đặc biệt: Khoản 3 Điều 21 Nghị định 53/2013/NĐ-CP ngày 18/05/2013 của Chính phủ về thành lập, tổ chức và hoạt động của VAMC giao NHNN hướng dẫn việc trích lập và sử dụng dự phòng rủi ro đối với trái phiếu đặc biệt. Do vậy, việc trích lập và sử dụng dự phòng rủi ro đối với trái phiếu đặc biệt được TCTD thực hiện theo quy định pháp luật liên quan đến VAMC nên khoản 4 Điều 1 dự thảo Nghị định đã loại trừ khỏi phạm vi điều chỉnh </w:t>
            </w:r>
            <w:r w:rsidRPr="00AF7630">
              <w:rPr>
                <w:rFonts w:ascii="Times New Roman" w:eastAsia="Times New Roman" w:hAnsi="Times New Roman" w:cs="Times New Roman"/>
                <w:sz w:val="24"/>
                <w:szCs w:val="24"/>
              </w:rPr>
              <w:lastRenderedPageBreak/>
              <w:t>của dự thảo Nghị định.</w:t>
            </w:r>
          </w:p>
          <w:p w:rsidR="006B0D2A" w:rsidRPr="00AF7630" w:rsidRDefault="006B0D2A" w:rsidP="007D7258">
            <w:pPr>
              <w:jc w:val="both"/>
              <w:rPr>
                <w:rFonts w:ascii="Times New Roman" w:eastAsia="Times New Roman" w:hAnsi="Times New Roman" w:cs="Times New Roman"/>
                <w:sz w:val="24"/>
                <w:szCs w:val="24"/>
              </w:rPr>
            </w:pPr>
          </w:p>
          <w:p w:rsidR="006B0D2A" w:rsidRPr="00AF7630" w:rsidRDefault="006B0D2A" w:rsidP="00356234">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C21DC3">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xml:space="preserve">Đề nghị Tổ soạn thảo xem xét sửa đổi, bổ sung theo hướng quy định </w:t>
            </w:r>
            <w:r w:rsidRPr="00AF7630">
              <w:rPr>
                <w:rFonts w:ascii="Times New Roman" w:eastAsia="Times New Roman" w:hAnsi="Times New Roman" w:cs="Times New Roman"/>
                <w:i/>
                <w:iCs/>
                <w:color w:val="000000"/>
                <w:sz w:val="24"/>
                <w:szCs w:val="24"/>
              </w:rPr>
              <w:t xml:space="preserve">"k) Mua, bán nợ theo quy định của Ngân hàng Nhà nước về hoạt động mua, bán nợ, trừ hoạt động mua, bán nợ xấu của tổ chức tín dụng, chi nhánh ngân hàng nước ngoài với Công ty quản lý tài sản của các tổ chức tín dụng Việt Nam </w:t>
            </w:r>
            <w:r w:rsidRPr="00AF7630">
              <w:rPr>
                <w:rFonts w:ascii="Times New Roman" w:eastAsia="Times New Roman" w:hAnsi="Times New Roman" w:cs="Times New Roman"/>
                <w:i/>
                <w:iCs/>
                <w:color w:val="000000"/>
                <w:sz w:val="24"/>
                <w:szCs w:val="24"/>
                <w:u w:val="single"/>
              </w:rPr>
              <w:t>bằng trái phiếu đặc biệt/trái phiếu.</w:t>
            </w:r>
            <w:r w:rsidRPr="00AF7630">
              <w:rPr>
                <w:rFonts w:ascii="Times New Roman" w:eastAsia="Times New Roman" w:hAnsi="Times New Roman" w:cs="Times New Roman"/>
                <w:i/>
                <w:iCs/>
                <w:color w:val="000000"/>
                <w:sz w:val="24"/>
                <w:szCs w:val="24"/>
              </w:rPr>
              <w:t>"</w:t>
            </w:r>
          </w:p>
          <w:p w:rsidR="006B0D2A" w:rsidRPr="00AF7630" w:rsidRDefault="006B0D2A" w:rsidP="00C21DC3">
            <w:pPr>
              <w:tabs>
                <w:tab w:val="left" w:pos="1372"/>
              </w:tabs>
              <w:jc w:val="both"/>
              <w:rPr>
                <w:rFonts w:ascii="Times New Roman" w:eastAsia="Times New Roman" w:hAnsi="Times New Roman" w:cs="Times New Roman"/>
                <w:sz w:val="24"/>
                <w:szCs w:val="24"/>
              </w:rPr>
            </w:pPr>
            <w:r w:rsidRPr="00AF7630">
              <w:rPr>
                <w:rFonts w:ascii="Times New Roman" w:eastAsia="Times New Roman" w:hAnsi="Times New Roman" w:cs="Times New Roman"/>
                <w:color w:val="000000"/>
                <w:sz w:val="24"/>
                <w:szCs w:val="24"/>
              </w:rPr>
              <w:t>Lý do: Theo Bản thuyết minh quy định tại Dự thảo Nghị định, NHNN chỉnh sửa điểm k khoản 2 điều 1 Dự thảo Nghị định để phù hợp với Khoản 7 Điều 50 Thông tư 19 quy định về hoạt động mua, bán nợ xấu của VAMC (TCTD phân loại nợ đối với việc mua khoản nợ xấu theo giá thị trường hoặc mua lại khoản nợ xấu được bán cho VAMC bằng trái phiếu đặc biệt). Thực tế hiện nay, TCTD bán nợ cho VAMC ngoài hình thức nhận trái phiếu đặc biệt/trái phiếu còn có hình thức nhận tiền. Theo đó, trong trường hợp TCTD bán nợ cho VAMC nhận tiền thì việc phân loại nợ, trích lập dự phòng rủi ro đối với số tiền chưa thưa thu được cũng cần quy định thực hiện tương tự như trường hợp mua, bán nợ thông thường khác.</w:t>
            </w:r>
          </w:p>
        </w:tc>
        <w:tc>
          <w:tcPr>
            <w:tcW w:w="2268" w:type="dxa"/>
          </w:tcPr>
          <w:p w:rsidR="006B0D2A" w:rsidRPr="00AF7630" w:rsidRDefault="006B0D2A" w:rsidP="00C21DC3">
            <w:pPr>
              <w:jc w:val="both"/>
              <w:rPr>
                <w:rFonts w:ascii="Times New Roman" w:eastAsia="Times New Roman" w:hAnsi="Times New Roman" w:cs="Times New Roman"/>
                <w:sz w:val="24"/>
                <w:szCs w:val="24"/>
                <w:lang w:val="vi-VN"/>
              </w:rPr>
            </w:pPr>
            <w:r w:rsidRPr="00AF7630">
              <w:rPr>
                <w:rFonts w:ascii="Times New Roman" w:eastAsia="Times New Roman" w:hAnsi="Times New Roman" w:cs="Times New Roman"/>
                <w:sz w:val="24"/>
                <w:szCs w:val="24"/>
                <w:lang w:val="vi-VN"/>
              </w:rPr>
              <w:t>VietinBank</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l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“l) Mua bán lại trái phiếu Chính phủ trên thị trường chứng khoán theo quy định của pháp luật về phát hành, đăng ký, lưu ký, niêm yết và giao dịch công cụ nợ của Chính phủ trên thị trường chứng khoán;”</w:t>
            </w:r>
          </w:p>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Theo Điểm l Khoản 2 và Khoản 3 Điều 1 dự thảo Nghị định này, quy định nội dung khoản nợ bao gồm Mua bán lại trái phiếu chính phủ trên thị trường chứng khoán.</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Mặt khác theo Khoản 1 Điều 1 tại Thông tư 24/2022/TT-BTC ngày 07/04/2022 có sửa đổi, bổ sung Điểm a Khoản 1 Điều 5 Thông tư 48/2019/TT-BTC ngày 08/08/2019: Trái phiếu chính phủ, trái phiếu chính phủ bảo lãnh và trái phiếu chính quyền địa phương không phải đối tượng để lập dự phòng rủi ro: “Đối tượng lập dự phòng nêu trên không bao gồm trái phiếu chính phủ, trái phiếu chính phủ được bảo lãnh, trái phiếu chính quyền địa phương.”</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Tuy nhiên tại điều 17 quy định chuyển tiếp tại dự thảo Nghị định này không nhắc đến việc thực hiện tiếp quy định của BTC liên quan đến vấn đề này.</w:t>
            </w:r>
          </w:p>
        </w:tc>
        <w:tc>
          <w:tcPr>
            <w:tcW w:w="2268"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PVcomBank</w:t>
            </w:r>
          </w:p>
        </w:tc>
        <w:tc>
          <w:tcPr>
            <w:tcW w:w="4677"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quy định này được NHNN hướng dẫn theo quy định tại khoản 2 Điều 37 Nghị định số 95/2018/NĐ-CP: </w:t>
            </w:r>
            <w:r w:rsidRPr="00AF7630">
              <w:rPr>
                <w:rFonts w:ascii="Times New Roman" w:eastAsia="Times New Roman" w:hAnsi="Times New Roman" w:cs="Times New Roman"/>
                <w:i/>
                <w:sz w:val="24"/>
                <w:szCs w:val="24"/>
              </w:rPr>
              <w:t xml:space="preserve">“Hướng dẫn các tổ chức tín dụng phân loại nợ và trích lập dự phòng rủi ro khi thực hiện các giao dịch mua bán lại và bán kết hợp mua lại trái phiếu Chính phủ trên thị trường chứng khoán theo quy định tại Nghị định này.”, </w:t>
            </w:r>
            <w:r w:rsidRPr="00AF7630">
              <w:rPr>
                <w:rFonts w:ascii="Times New Roman" w:eastAsia="Times New Roman" w:hAnsi="Times New Roman" w:cs="Times New Roman"/>
                <w:sz w:val="24"/>
                <w:szCs w:val="24"/>
              </w:rPr>
              <w:t>hoạt động này không thực hiện theo quy định tại Thông tư 48/2019/TT-BTC.</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Ngoài ra, đây là quy định kế thừa quy định hiện hành, không sửa đổi, bổ sung.</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vậy, không cần quy định chuyển tiếp đối với nội dung này.</w:t>
            </w: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n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lastRenderedPageBreak/>
              <w:t>“n) Thư tín dụng;”</w:t>
            </w: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lastRenderedPageBreak/>
              <w:t>Đề xuất:</w:t>
            </w:r>
            <w:r w:rsidRPr="00AF7630">
              <w:rPr>
                <w:rFonts w:ascii="Times New Roman" w:eastAsia="Times New Roman" w:hAnsi="Times New Roman" w:cs="Times New Roman"/>
                <w:bCs/>
                <w:sz w:val="24"/>
                <w:szCs w:val="24"/>
              </w:rPr>
              <w:t> Đề nghị NHNN làm rõ “thư tín dụng” tại Điều 1.2.n.</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 </w:t>
            </w:r>
            <w:r w:rsidRPr="00AF7630">
              <w:rPr>
                <w:rFonts w:ascii="Times New Roman" w:eastAsia="Times New Roman" w:hAnsi="Times New Roman" w:cs="Times New Roman"/>
                <w:b/>
                <w:bCs/>
                <w:sz w:val="24"/>
                <w:szCs w:val="24"/>
              </w:rPr>
              <w:t>Lý do:</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(i) Điều 1.2 đưa ra phạm vi áp dụng của Nghị định là các tài sản được gọi là “nợ” và nếu Ngân hàng có tài sản phát sinh từ thư tín dụng thì đã được đề cập ở </w:t>
            </w:r>
            <w:r w:rsidRPr="00AF7630">
              <w:rPr>
                <w:rFonts w:ascii="Times New Roman" w:eastAsia="Times New Roman" w:hAnsi="Times New Roman" w:cs="Times New Roman"/>
                <w:bCs/>
                <w:i/>
                <w:iCs/>
                <w:sz w:val="24"/>
                <w:szCs w:val="24"/>
              </w:rPr>
              <w:t>điều 1.2.a cho vay (trong trường hợp cho vay để thanh toán LC) và 1.2.e - Trả thay theo cam kết ngoại bảng (bao gồm các khoản bảo lãnh, thư tín dụng, chấp nhận thanh toán, cam kết cho vay không hủy ngang và các cam kết khác phát sinh rủi ro tín dụng.</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(ii) Thư tín dụng là cam kết ngoại bảng và theo Điều 1.2 của dự thảo về phân loại nợ đang được xin ý kiến bởi Ngân hàng Nhà nước thì thư tín dụng phải được phân loại theo quy định tại Thông tư này để quản lý, giám sát chất lượng hoạt động cấp tín dụng của tổ chức tín dụng do đó tương tự như bảo lãnh và các cam kết ngoại bảng khác thì không cần trích lập dự phòng cho LC.</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(iii) Trường hợp Điều 1.2 (n) muốn đề cập đến UPAS L/C thì đề nghị quy định rõ, để tránh hiểu nhầm với thư tín dụng thông thường đã được quy định tại Điều 1.2.a và Điều 1.2.e.</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ANZ</w:t>
            </w:r>
          </w:p>
        </w:tc>
        <w:tc>
          <w:tcPr>
            <w:tcW w:w="4677"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điểm e, n, o khoản 2 Điều 1 DTNĐ được chỉnh sửa như sau:</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lastRenderedPageBreak/>
              <w:t xml:space="preserve">“e) Trả thay theo cam kết ngoại bảng (bao gồm khoản trả thay nghĩa vụ của khách hàng trong hoạt động bảo lãnh, </w:t>
            </w:r>
            <w:r w:rsidRPr="00AF7630">
              <w:rPr>
                <w:rFonts w:ascii="Times New Roman" w:eastAsia="Times New Roman" w:hAnsi="Times New Roman" w:cs="Times New Roman"/>
                <w:i/>
                <w:sz w:val="24"/>
                <w:szCs w:val="24"/>
                <w:u w:val="single"/>
              </w:rPr>
              <w:t>nghiệp vụ phát hành thư tín dụng, nghiệp vụ xác nhận thư tín dụng và các khoản trả thay khác theo cam kết ngoại bảng</w:t>
            </w:r>
            <w:r w:rsidRPr="00AF7630">
              <w:rPr>
                <w:rFonts w:ascii="Times New Roman" w:eastAsia="Times New Roman" w:hAnsi="Times New Roman" w:cs="Times New Roman"/>
                <w:i/>
                <w:sz w:val="24"/>
                <w:szCs w:val="24"/>
              </w:rPr>
              <w:t>);</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n) Nghiệp vụ phát hành thư tín dụng trả chậm có điều khoản thanh toán ngay cho bên thụ hưởng, nghiệp vụ thương lượng thanh toán thư tín dụng, nghiệp vụ hoàn trả thư tín dụng;</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o) Mua hẳn miễn truy đòi bộ chứng từ xuất trình theo thư tín dụng”</w:t>
            </w: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a) Kiến nghị thay thế cụm từ “Thư tín dụng” thành “nghiệp vụ thương lượng bộ chứng từ dưới thư tín dụng, nghiệp vụ hoàn trả dưới thư tín dụng” để phản ánh đúng tài sản có/khoản nợ cần phải thực hiện trích lập dự phòng rủi ro tín dụng.</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Lý do: Thư tín dụng bao gồm nhiều nghiệp vụ từ khâu phát hành đến thời điểm TCTD, chi nhánh NHNg phải thực hiện thanh toán.</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Nghiệp vụ phát hành, xác nhận thư bảo lãnh được xem xếp loại vào cam kết ngoại bảng. Nghiệp vụ thương lượng bộ chứng từ dưới tín dụng, nghiệp vụ hoàn trả dưới thư tín dụng được xếp loại vào dư nợ nội bảng vì TCTD đã thanh toán, giải ngân cho bên thụ hưởng; do đó, có phát sinh rủi ro tín dụng và cần phải thực hiện trích lập dự phòng rủi ro tín dụng.</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b) Kiến nghị NHNN cân nhắc, xem xét khi ban hành các quy định về các nghiệp vụ liên quan đến thư tín dụng cần </w:t>
            </w:r>
            <w:r w:rsidRPr="00AF7630">
              <w:rPr>
                <w:rFonts w:ascii="Times New Roman" w:eastAsia="Times New Roman" w:hAnsi="Times New Roman" w:cs="Times New Roman"/>
                <w:bCs/>
                <w:sz w:val="24"/>
                <w:szCs w:val="24"/>
              </w:rPr>
              <w:lastRenderedPageBreak/>
              <w:t>đảm bảo phù hợp với quy định tương ứng trong dự thảo và Thông tư quy định về nghiệp vụ thư tín dụng và các hoạt động kinh doanh khác liên quan đến thư tín dụng.</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HSBC</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iCs/>
                <w:sz w:val="24"/>
                <w:szCs w:val="24"/>
              </w:rPr>
              <w:t>Đề nghị Ngân hàng nhà nước làm rõ khái niệm tài sản có trong hoạt động ngân hàng phát sinh từ 2 hoạt động tại điểm n và điểm o khoản này, tài sản có này được ghi nhận nội bảng hay ngoại bảng</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Standard Chartered</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Hoạt động thư tín dụng được quy định tại các điểm e, n khoản 2 Điều 1 DTNĐ tương ứng với nghiệp vụ thư tín dụng cụ thể nào hay áp dụng với tất cả nghiệp vụ quy định tại Khoản 36 Điều 4 Luật TCTD 2024 (phát hành, xác nhận, thương lượng thanh toán, hoàn trả thư tín dụng) và lý do tách hoạt động “Thư tín dụng” tại hai điểm khác nhau của cùng một Điều khoản tại Dự thảo.</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TPBank</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1 khoản 2 điểm n: Đề nghị viết lại điểm này.</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Quy trình hoạt động của nghiệp vụ thư tín dụng gồm: </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Giai đoạn 1: Mở thư tín dụng (là cam kết ngoại bảng) </w:t>
            </w:r>
            <w:r w:rsidRPr="00AF7630">
              <w:rPr>
                <w:rFonts w:ascii="Times New Roman" w:eastAsia="Times New Roman" w:hAnsi="Times New Roman" w:cs="Times New Roman"/>
                <w:sz w:val="24"/>
                <w:szCs w:val="24"/>
              </w:rPr>
              <w:sym w:font="Wingdings" w:char="F0E0"/>
            </w:r>
            <w:r w:rsidRPr="00AF7630">
              <w:rPr>
                <w:rFonts w:ascii="Times New Roman" w:eastAsia="Times New Roman" w:hAnsi="Times New Roman" w:cs="Times New Roman"/>
                <w:sz w:val="24"/>
                <w:szCs w:val="24"/>
              </w:rPr>
              <w:t xml:space="preserve"> chưa ghi nhận là tài sản có</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Giai đoạn 2: thanh toán thư tín dụng, gồm có:</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(i) Giải ngân để thanh toán thư tín dụng theo thỏa thuận cấp tín dụng để hoàn trả thư tín dụng (tại Điều 43 dự thảo Thông tư về thư tín dụng)</w:t>
            </w:r>
            <w:r w:rsidRPr="00AF7630">
              <w:rPr>
                <w:rFonts w:ascii="Times New Roman" w:eastAsia="Times New Roman" w:hAnsi="Times New Roman" w:cs="Times New Roman"/>
                <w:sz w:val="24"/>
                <w:szCs w:val="24"/>
              </w:rPr>
              <w:sym w:font="Wingdings" w:char="F0E0"/>
            </w:r>
            <w:r w:rsidRPr="00AF7630">
              <w:rPr>
                <w:rFonts w:ascii="Times New Roman" w:eastAsia="Times New Roman" w:hAnsi="Times New Roman" w:cs="Times New Roman"/>
                <w:sz w:val="24"/>
                <w:szCs w:val="24"/>
              </w:rPr>
              <w:t xml:space="preserve"> hình thành tài sản có</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(ii)Ngân hàng hoàn trả thay theo cam kết tại thư tín dụng (khách hàng nhận nợ bắt buộc để trả thay cam kết ngoại bảng)</w:t>
            </w:r>
            <w:r w:rsidRPr="00AF7630">
              <w:rPr>
                <w:rFonts w:ascii="Times New Roman" w:eastAsia="Times New Roman" w:hAnsi="Times New Roman" w:cs="Times New Roman"/>
                <w:sz w:val="24"/>
                <w:szCs w:val="24"/>
              </w:rPr>
              <w:sym w:font="Wingdings" w:char="F0E0"/>
            </w:r>
            <w:r w:rsidRPr="00AF7630">
              <w:rPr>
                <w:rFonts w:ascii="Times New Roman" w:eastAsia="Times New Roman" w:hAnsi="Times New Roman" w:cs="Times New Roman"/>
                <w:sz w:val="24"/>
                <w:szCs w:val="24"/>
              </w:rPr>
              <w:t xml:space="preserve"> hình thành tài sản có</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chỉ khi thư tín dụng ở giai đoạn 2 mới quy định tại khoản này để tránh trùng lắp với khoản 2 Điều này (giai đoạn 1).</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Ngoài ra, tại điểm (ii) đã quy định tại điểm e khoản này và được phân loại vào nhóm nợ xấu theo quy định tại khoản 4a(ii) Điều 10.</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Đối với khoản giải ngân tại điểm (i) cần được phân loại nợ như khoản nợ ngắn hạn thông thường.</w:t>
            </w:r>
          </w:p>
        </w:tc>
        <w:tc>
          <w:tcPr>
            <w:tcW w:w="2268" w:type="dxa"/>
          </w:tcPr>
          <w:p w:rsidR="006B0D2A" w:rsidRPr="00AF7630" w:rsidRDefault="006B0D2A" w:rsidP="006B0D2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Woori</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DTNĐ đã bổ sung các tài sản có của TCTD bao gồm Thư tín dụng/mua hẳn miễn truy đòi bộ chứng từ xuất trình theo thư tín dụng phù hợp với quy định của Luật TCTD 2024 về định nghĩa cấp tín dụng. Theo đó TCTD phải thực hiện </w:t>
            </w:r>
            <w:r w:rsidRPr="00AF7630">
              <w:rPr>
                <w:rFonts w:ascii="Times New Roman" w:eastAsia="Times New Roman" w:hAnsi="Times New Roman" w:cs="Times New Roman"/>
                <w:sz w:val="24"/>
                <w:szCs w:val="24"/>
              </w:rPr>
              <w:lastRenderedPageBreak/>
              <w:t xml:space="preserve">trích lập dự phòng chung và dự phòng cụ thể đối với thư tín dụng. Tuy nhiên theo định nghĩa cấp tín dụng tại luật TCTD 2024 bao gồm cả thư tín dụng và bảo lãnh - được coi là cam kết ngoại bảng và không phải trích dự phòng theo quy định tại TT11/2021/TT-NHNN. </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Đề xuất:</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Đối với Thư tín dụng: Điều chỉnh cách viết của khoản 2n- Điều 1 để hiểu đúng phạm vi trích dự phòng tương tự Thông tư 11 cũ (không trích dự phòng đối với cam kết ngoại bảng- bao gồm thư tín dụng) và phản ánh đúng bản chất rủi ro, TCTD chưa nhận nợ đối với các khoản cam kết ngoại bảng.</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Quân đội</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Liên quan đến “Thư tín dụng” quy định tại điểm n Khoản 2, đề nghị có quy định làm rõ trường hợp nào Thư tín dụng thuộc “Tài sản có” để thực hiện TLDP theo đúng quy định.</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TCTD chỉ thực hiện TLDP đối với Thư tín dụng thuộc “Tài sản có” quy định tại điểm n Khoản 2. Đối với Thư tín dụng thuộc “Cam kết ngoại bảng” thì không TLDP (chỉ PLN để theo dõi và quản lý).</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(Nội dung này ACB đã có ý kiến đối với Dự thảo Thông tư v.v Phân loại tài sản có: Đề nghị có quy định làm rõ, phân biệt trường hợp nào “Thư tín dụng” thuộc Tài sản có và trường hợp nào Thư tín dụng thuộc Cam kết ngoại bảng)</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Lý do: Phân biệt rõ trường hợp nào Thư tín dụng được hạch toán nội bảng (TS có) và ngoại bảng (CKBL) để từ đó thực hiện TLDP đúng quy định.</w:t>
            </w:r>
          </w:p>
        </w:tc>
        <w:tc>
          <w:tcPr>
            <w:tcW w:w="2268"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ACB</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Đề nghị bỏ điểm n khoản 2. Lý do: Thư tín dụng khi chưa thực hiện thì chưa phát sinh dư nợ, vẫn là các khoản cam kết, khi thực hiện thì đã nằm trong điểm e Khoản 2 Điều 1.</w:t>
            </w:r>
          </w:p>
        </w:tc>
        <w:tc>
          <w:tcPr>
            <w:tcW w:w="2268"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Agribank, MSB</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Sửa đổi như sau: “</w:t>
            </w:r>
            <w:r w:rsidRPr="00AF7630">
              <w:rPr>
                <w:rFonts w:ascii="Times New Roman" w:eastAsia="Times New Roman" w:hAnsi="Times New Roman" w:cs="Times New Roman"/>
                <w:i/>
                <w:iCs/>
                <w:color w:val="000000"/>
                <w:sz w:val="24"/>
                <w:szCs w:val="24"/>
              </w:rPr>
              <w:t>Thư tín dụng (các khoản nhận nợ phát sinh từ nghiệp vụ).</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b/>
                <w:bCs/>
                <w:color w:val="000000"/>
                <w:sz w:val="24"/>
                <w:szCs w:val="24"/>
              </w:rPr>
              <w:t>Lý do:</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xml:space="preserve">(i)     Điều 1.2 đưa ra phạm vi áp dụng của nghị định là các tài sản được gọi là “nơ” và nếu Ngân hàng có tài sản phát sinh từ thư tín dụng thì đã được đề cập ở điều 1.2.a cho vay (trong trường hợp cho vay để thanh toán LC) và 1.2 (e)- Trả thay theo cam kết ngoại bảng. Do vậy, Điều 1.2(n) quy </w:t>
            </w:r>
            <w:r w:rsidRPr="00AF7630">
              <w:rPr>
                <w:rFonts w:ascii="Times New Roman" w:eastAsia="Times New Roman" w:hAnsi="Times New Roman" w:cs="Times New Roman"/>
                <w:color w:val="000000"/>
                <w:sz w:val="24"/>
                <w:szCs w:val="24"/>
              </w:rPr>
              <w:lastRenderedPageBreak/>
              <w:t>định chung chung “thư tín dụng” thì không rõ đề cập đến khoản “nợ” nào nên có thể sẽ có nội dung trùng lặp với Điểm (a) và (e ) của Điều 1.2.</w:t>
            </w:r>
          </w:p>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(ii)     Theo chúng tôi hiểu thì Điều 1.2.(n) có vẻ đang muốn đề cập đến nghĩa vụ nợ phát sinh nghiệp vụ UPAS LC (cụ thể, sau khi Ngân hàng hoàn trả thực hiện thanh toán cho người thụ hưởng thì ngân hàng phát hành sẽ nhận nợ với ngân hàng hoàn trả và khách hàng mở LC sẽ nhận nợ với ngân hàng phát hành. Đây là nội dung đang được quy định tại Điều 25.2 của Dự thảo 2 về LC).</w:t>
            </w:r>
          </w:p>
        </w:tc>
        <w:tc>
          <w:tcPr>
            <w:tcW w:w="2268" w:type="dxa"/>
          </w:tcPr>
          <w:p w:rsidR="006B0D2A" w:rsidRPr="00AF7630" w:rsidRDefault="006B0D2A" w:rsidP="0001557F">
            <w:pPr>
              <w:tabs>
                <w:tab w:val="left" w:pos="1372"/>
              </w:tabs>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lastRenderedPageBreak/>
              <w:t>Nhóm công tác ngân hàng</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Có sự trùng lặp tại Dự thảo khi Điểm e và Điểm n đang cùng quy định về hoạt động “thư tín dụng”. OceanBank đề xuất nên quy định hoạt động “thư tín dụng” tại mục ngoại bảng (Điểm e).</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Ocean Bank</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val="restart"/>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o khoản 2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“o) Mua hẳn miễn truy đòi bộ chứng từ xuất trình theo thư tín dụng.”</w:t>
            </w:r>
          </w:p>
        </w:tc>
        <w:tc>
          <w:tcPr>
            <w:tcW w:w="5953" w:type="dxa"/>
          </w:tcPr>
          <w:p w:rsidR="006B0D2A" w:rsidRPr="00AF7630" w:rsidRDefault="006B0D2A"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Đối với hoạt động mua hẳn miễn truy đòi bộ chứng từ xuất trình theo thư tín dụng, “tài sản có/nợ” được hạch toán theo khách hàng là bên chuyển nhượng bộ chứng từ, hạch toán cho đối tác của khách hàng là bên chuyển nhượng bộ chứng từ hay hạch toán Ngân hàng phát hành/Ngân hàng thanh toán (là bên có nghĩa vụ trả nợ)?</w:t>
            </w:r>
          </w:p>
          <w:p w:rsidR="006B0D2A" w:rsidRPr="00AF7630" w:rsidRDefault="006B0D2A"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Lý do: Khoản 2 Điều 365 BLDS 2015 quy định: “Khi có quyền yêu cầu chuyển giao quyền yêu cầu cho người thế quyền thì người thế quyền trở thành bên có quyền yêu cầu”, theo đó khi chuyển nhượng bộ chứng từ thì TCTD mua bộ chứng từ trở thành bên có quyền đòi nợ đối với bên có nghĩa vụ trả nợ. Tương tự đối với hoạt động bao thanh toán bên bán miễn truy đòi, “tài sản có/nợ” được hạch toán theo bên bán hay bên mua (là bên có nghĩa vụ trả nợ)?</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TPBank</w:t>
            </w:r>
          </w:p>
        </w:tc>
        <w:tc>
          <w:tcPr>
            <w:tcW w:w="4677" w:type="dxa"/>
            <w:vMerge/>
          </w:tcPr>
          <w:p w:rsidR="006B0D2A" w:rsidRPr="00AF7630" w:rsidRDefault="006B0D2A" w:rsidP="0001557F">
            <w:pPr>
              <w:jc w:val="both"/>
              <w:rPr>
                <w:rFonts w:ascii="Times New Roman" w:eastAsia="Times New Roman" w:hAnsi="Times New Roman" w:cs="Times New Roman"/>
                <w:sz w:val="24"/>
                <w:szCs w:val="24"/>
              </w:rPr>
            </w:pPr>
          </w:p>
        </w:tc>
      </w:tr>
      <w:tr w:rsidR="006B0D2A" w:rsidRPr="00AF7630" w:rsidTr="0069372A">
        <w:tc>
          <w:tcPr>
            <w:tcW w:w="2978" w:type="dxa"/>
            <w:vMerge/>
          </w:tcPr>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Đề nghị xem xét, chỉnh lý quy định xác định tài sản Có của tố chức tín dụng, chi nhánh ngân hàng nước ngoài tại điểm o khoản 2 Điều 1 dự thảo Nghị định liên quan đến chứng từ xuất trình theo thư tín dụng cho rõ ràng, dễ hiểu, bảo đảm ngôn ngữ, kỹ thuật văn bản quy phạm pháp luật.</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Bộ Công an</w:t>
            </w:r>
          </w:p>
        </w:tc>
        <w:tc>
          <w:tcPr>
            <w:tcW w:w="4677"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36 Điều 4 Luật Các TCTD 2024 quy định về thư tín dụng như sau:</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“36. </w:t>
            </w:r>
            <w:r w:rsidRPr="00AF7630">
              <w:rPr>
                <w:rFonts w:ascii="Times New Roman" w:eastAsia="Times New Roman" w:hAnsi="Times New Roman" w:cs="Times New Roman"/>
                <w:i/>
                <w:iCs/>
                <w:sz w:val="24"/>
                <w:szCs w:val="24"/>
              </w:rPr>
              <w:t>Thư tín dụng</w:t>
            </w:r>
            <w:r w:rsidRPr="00AF7630">
              <w:rPr>
                <w:rFonts w:ascii="Times New Roman" w:eastAsia="Times New Roman" w:hAnsi="Times New Roman" w:cs="Times New Roman"/>
                <w:i/>
                <w:sz w:val="24"/>
                <w:szCs w:val="24"/>
              </w:rPr>
              <w:t xml:space="preserve"> là hình thức cấp tín dụng thông qua nghiệp vụ phát hành, xác nhận, thương lượng thanh toán, hoàn trả thư tín dụng. “</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Theo đó, quy định tại điểm </w:t>
            </w:r>
            <w:r w:rsidRPr="00AF7630">
              <w:rPr>
                <w:rFonts w:ascii="Times New Roman" w:eastAsia="Times New Roman" w:hAnsi="Times New Roman" w:cs="Times New Roman"/>
                <w:bCs/>
                <w:iCs/>
                <w:sz w:val="24"/>
                <w:szCs w:val="24"/>
              </w:rPr>
              <w:t xml:space="preserve">o khoản 2 Điều 1 dự thảo Nghị định không thuộc khái niệm </w:t>
            </w:r>
            <w:r w:rsidRPr="00AF7630">
              <w:rPr>
                <w:rFonts w:ascii="Times New Roman" w:eastAsia="Times New Roman" w:hAnsi="Times New Roman" w:cs="Times New Roman"/>
                <w:sz w:val="24"/>
                <w:szCs w:val="24"/>
              </w:rPr>
              <w:t xml:space="preserve">thư tín dụng tại khoản 36 Điều 4 Luật Các TCTD </w:t>
            </w:r>
            <w:r w:rsidRPr="00AF7630">
              <w:rPr>
                <w:rFonts w:ascii="Times New Roman" w:eastAsia="Times New Roman" w:hAnsi="Times New Roman" w:cs="Times New Roman"/>
                <w:sz w:val="24"/>
                <w:szCs w:val="24"/>
              </w:rPr>
              <w:lastRenderedPageBreak/>
              <w:t>2024.</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dự thảo Nghị định quy định điểm o tách riêng với điểm n để đảm bảo rõ ràng.</w:t>
            </w:r>
          </w:p>
        </w:tc>
      </w:tr>
      <w:tr w:rsidR="006B0D2A" w:rsidRPr="00AF7630" w:rsidTr="0069372A">
        <w:tc>
          <w:tcPr>
            <w:tcW w:w="297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3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“3</w:t>
            </w:r>
            <w:r w:rsidRPr="00AF7630">
              <w:rPr>
                <w:rFonts w:ascii="Times New Roman" w:eastAsia="Times New Roman" w:hAnsi="Times New Roman" w:cs="Times New Roman"/>
                <w:i/>
                <w:sz w:val="24"/>
                <w:szCs w:val="24"/>
                <w:lang w:val="vi-VN"/>
              </w:rPr>
              <w:t xml:space="preserve">. Việc trích lập và sử dụng dự phòng giảm giá hàng tồn kho, dự phòng tổn thất các khoản đầu tư tài chính, dự phòng tổn thất các khoản nợ phải thu khó đòi, trừ các khoản quy định tại khoản </w:t>
            </w:r>
            <w:r w:rsidRPr="00AF7630">
              <w:rPr>
                <w:rFonts w:ascii="Times New Roman" w:eastAsia="Times New Roman" w:hAnsi="Times New Roman" w:cs="Times New Roman"/>
                <w:i/>
                <w:sz w:val="24"/>
                <w:szCs w:val="24"/>
              </w:rPr>
              <w:t>2</w:t>
            </w:r>
            <w:r w:rsidRPr="00AF7630">
              <w:rPr>
                <w:rFonts w:ascii="Times New Roman" w:eastAsia="Times New Roman" w:hAnsi="Times New Roman" w:cs="Times New Roman"/>
                <w:i/>
                <w:sz w:val="24"/>
                <w:szCs w:val="24"/>
                <w:lang w:val="vi-VN"/>
              </w:rPr>
              <w:t xml:space="preserve"> Điều này thực hiện theo quy định của pháp luật về việc trích lập và xử lý các khoản dự phòng giảm giá hàng tồn kho, tổn thất các khoản đầu tư, nợ phải thu khó đòi và bảo hành sản phẩm, hàng hóa, dịch vụ, công trình xây dựng tại doanh nghiệp.</w:t>
            </w:r>
            <w:r w:rsidRPr="00AF7630">
              <w:rPr>
                <w:rFonts w:ascii="Times New Roman" w:eastAsia="Times New Roman" w:hAnsi="Times New Roman" w:cs="Times New Roman"/>
                <w:i/>
                <w:sz w:val="24"/>
                <w:szCs w:val="24"/>
              </w:rPr>
              <w:t>”</w:t>
            </w:r>
          </w:p>
          <w:p w:rsidR="006B0D2A" w:rsidRPr="00AF7630" w:rsidRDefault="006B0D2A" w:rsidP="0001557F">
            <w:pPr>
              <w:jc w:val="both"/>
              <w:rPr>
                <w:rFonts w:ascii="Times New Roman" w:eastAsia="Times New Roman" w:hAnsi="Times New Roman" w:cs="Times New Roman"/>
                <w:sz w:val="24"/>
                <w:szCs w:val="24"/>
              </w:rPr>
            </w:pP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i/>
                <w:iCs/>
                <w:sz w:val="24"/>
                <w:szCs w:val="24"/>
              </w:rPr>
              <w:t>Đề xuất:</w:t>
            </w:r>
            <w:r w:rsidRPr="00AF7630">
              <w:rPr>
                <w:rFonts w:ascii="Times New Roman" w:eastAsia="Times New Roman" w:hAnsi="Times New Roman" w:cs="Times New Roman"/>
                <w:bCs/>
                <w:sz w:val="24"/>
                <w:szCs w:val="24"/>
              </w:rPr>
              <w:t xml:space="preserve"> Đề nghị Quý Cơ quan trao đổi, phối hợp với Bộ Tài chính sửa đổi đồng bộ văn bản pháp luật về việc trích lập và xử lý các khoản dự phòng giảm giá hàng tồn kho, tổn thất các khoản đầu tư, nợ phải thu khó đòi và bảo hành sản phẩm, hàng hóa, dịch vụ, công trình xây dựng tại doanh nghiệp. Đề nghị văn bản này cũng ở mức Nghị định, tương ứng với Dự thảo này.</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i/>
                <w:iCs/>
                <w:sz w:val="24"/>
                <w:szCs w:val="24"/>
              </w:rPr>
              <w:t>-</w:t>
            </w:r>
            <w:r w:rsidRPr="00AF7630">
              <w:rPr>
                <w:rFonts w:ascii="Times New Roman" w:eastAsia="Times New Roman" w:hAnsi="Times New Roman" w:cs="Times New Roman"/>
                <w:bCs/>
                <w:sz w:val="24"/>
                <w:szCs w:val="24"/>
              </w:rPr>
              <w:t>     </w:t>
            </w:r>
            <w:r w:rsidRPr="00AF7630">
              <w:rPr>
                <w:rFonts w:ascii="Times New Roman" w:eastAsia="Times New Roman" w:hAnsi="Times New Roman" w:cs="Times New Roman"/>
                <w:b/>
                <w:bCs/>
                <w:i/>
                <w:iCs/>
                <w:sz w:val="24"/>
                <w:szCs w:val="24"/>
              </w:rPr>
              <w:t>Lý do đề xuất: </w:t>
            </w:r>
            <w:r w:rsidRPr="00AF7630">
              <w:rPr>
                <w:rFonts w:ascii="Times New Roman" w:eastAsia="Times New Roman" w:hAnsi="Times New Roman" w:cs="Times New Roman"/>
                <w:bCs/>
                <w:sz w:val="24"/>
                <w:szCs w:val="24"/>
              </w:rPr>
              <w:t>Văn bản hiện tại quy định về trích lập và xử lý các khoản dự phòng giảm giá hàng tồn kho, tổn thất các khoản đầu tư, nợ phải thu khó đòi và bảo hành sản phẩm, hàng hóa, dịch vụ, công trình xây dựng tại doanh nghiệp là Thông tư 48/2019/TT-BTC, tuy nhiên lại chỉ áp dụng cho mục đích thuế, theo đó chưa đồng bộ về mặt thể thức văn bản cũng như phạm vi áp dụng, và chỉ được diễn giải cho Cơ quan thuế.</w:t>
            </w:r>
          </w:p>
        </w:tc>
        <w:tc>
          <w:tcPr>
            <w:tcW w:w="226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VPBank</w:t>
            </w:r>
          </w:p>
        </w:tc>
        <w:tc>
          <w:tcPr>
            <w:tcW w:w="4677"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Khoản 2, 3 Điều 147 Luật các TCTD quy định: </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“2. Việc phân loại tài sản có thực hiện theo quy định của Thống đốc Ngân hàng Nhà nước.</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3. …Mức trích lập dự phòng rủi ro, phương pháp trích lập dự phòng rủi ro và việc sử dụng dự phòng để xử lý rủi ro trong hoạt động của tổ chức tín dụng, chi nhánh ngân hàng nước ngoài thực hiện theo quy định của Chính phủ.”</w:t>
            </w:r>
            <w:r w:rsidRPr="00AF7630">
              <w:rPr>
                <w:rFonts w:ascii="Times New Roman" w:eastAsia="Times New Roman" w:hAnsi="Times New Roman" w:cs="Times New Roman"/>
                <w:sz w:val="24"/>
                <w:szCs w:val="24"/>
              </w:rPr>
              <w:t>.</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Căn cứ các quy định nêu trên, Chính phủ quy định về việc mức trích lập dự phòng rủi ro, phương pháp trích lập dự phòng rủi ro và việc sử dụng dự phòng để xử lý rủi ro đối với các tài sản có. Theo đó, ngoài các tài sản có phát sinh từ các hoạt động có rủi ro tín dụng xuất phát từ đặc thù trong hoạt động của tổ chức tín dụng, chi nhánh NHNg (đã được quy định tại khoản 2 Điều 1 dự thảo Nghị định), tổ chức tín dụng, chi nhánh NHNg có các tài sản có khác tương tự như các loại hình doanh nghiệp khác (như hàng tồn kho, khoản đầu tư, nợ phải thu khó đòi…).</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Theo đó, đối với có các tài sản có khác tương tự như các loại hình doanh nghiệp khác, khoản 3 Điều 1 dự thảo Nghị định đã quy định: </w:t>
            </w:r>
            <w:r w:rsidRPr="00AF7630">
              <w:rPr>
                <w:rFonts w:ascii="Times New Roman" w:eastAsia="Times New Roman" w:hAnsi="Times New Roman" w:cs="Times New Roman"/>
                <w:i/>
                <w:sz w:val="24"/>
                <w:szCs w:val="24"/>
              </w:rPr>
              <w:t xml:space="preserve">“3. Việc trích lập và sử dụng dự phòng giảm giá hàng tồn kho, dự phòng tổn thất các khoản đầu tư tài chính, dự phòng tổn thất các khoản nợ phải thu khó đòi, trừ các khoản quy định tại khoản 2 Điều này thực hiện theo quy định của pháp luật về việc trích lập và xử lý các khoản dự phòng giảm giá hàng tồn kho, </w:t>
            </w:r>
            <w:r w:rsidRPr="00AF7630">
              <w:rPr>
                <w:rFonts w:ascii="Times New Roman" w:eastAsia="Times New Roman" w:hAnsi="Times New Roman" w:cs="Times New Roman"/>
                <w:i/>
                <w:sz w:val="24"/>
                <w:szCs w:val="24"/>
              </w:rPr>
              <w:lastRenderedPageBreak/>
              <w:t>tổn thất các khoản đầu tư, nợ phải thu khó đòi và bảo hành sản phẩm, hàng hóa, dịch vụ, công trình xây dựng tại doanh nghiệp.”.</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Hiện nay, Thông tư số 48/2019/TT-BTC ngày 08/8/2019 của Bộ Tài chính quy định về việc trích lập và xử lý các khoản dự phòng giảm giá hàng tồn kho, tổn thất các khoản đầu tư, nợ phải thu khó đòi và bảo hành sản phẩm, hàng hóa, dịch vụ, công trình xây dựng tại doanh nghiệp (Thông tư 48) trên cơ sở được giao hướng dẫn theo Điều 9 Nghị định số 218/2013/NĐ-CP ngày 26/12/2013 của Chính phủ quy định chi tiết và hướng dẫn thi hành Luật thuế thu nhập doanh nghiệp (đã được sửa đổi bổ sung) và Điều 9 Luật thuế thu nhập doanh nghiệp.</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Như vậy, việc trích lập dự phòng rủi ro đối với các tài sản có (như hàng tồn kho, khoản đầu tư, nợ phải thu khó đòi…) được thực hiện theo quy định của pháp luật áp dụng đối với doanh nghiệp nói chung (bao gồm cả TCTD, chi nhánh NHNg).</w:t>
            </w:r>
          </w:p>
        </w:tc>
      </w:tr>
      <w:tr w:rsidR="006B0D2A" w:rsidRPr="00AF7630" w:rsidTr="0069372A">
        <w:tc>
          <w:tcPr>
            <w:tcW w:w="297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4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“4. Việc trích lập và sử dụng dự phòng rủi ro đối với trái phiếu đặc biệt do Công ty quản lý tài sản của các tổ chức tín dụng Việt Nam phát hành để mua nợ xấu của tổ chức tín dụng thực hiện theo quy định của </w:t>
            </w:r>
            <w:r w:rsidRPr="00AF7630">
              <w:rPr>
                <w:rFonts w:ascii="Times New Roman" w:eastAsia="Times New Roman" w:hAnsi="Times New Roman" w:cs="Times New Roman"/>
                <w:i/>
                <w:iCs/>
                <w:sz w:val="24"/>
                <w:szCs w:val="24"/>
              </w:rPr>
              <w:t xml:space="preserve">pháp luật </w:t>
            </w:r>
            <w:r w:rsidRPr="00AF7630">
              <w:rPr>
                <w:rFonts w:ascii="Times New Roman" w:eastAsia="Times New Roman" w:hAnsi="Times New Roman" w:cs="Times New Roman"/>
                <w:i/>
                <w:sz w:val="24"/>
                <w:szCs w:val="24"/>
              </w:rPr>
              <w:t>về việc mua, bán và xử lý nợ xấu của Công ty quản lý tài sản của các tổ chức tín dụng Việt Nam.”</w:t>
            </w:r>
          </w:p>
        </w:tc>
        <w:tc>
          <w:tcPr>
            <w:tcW w:w="5953"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color w:val="000000"/>
                <w:sz w:val="24"/>
                <w:szCs w:val="24"/>
              </w:rPr>
              <w:t>Đề nghị Tổ soạn thảo xem xét sửa đổi theo hướng giữ nguyên như quy định tại khoản 4 Điều 1 Thông tư 11.</w:t>
            </w:r>
            <w:r w:rsidRPr="00AF7630">
              <w:rPr>
                <w:rFonts w:ascii="Times New Roman" w:eastAsia="Times New Roman" w:hAnsi="Times New Roman" w:cs="Times New Roman"/>
                <w:color w:val="000000"/>
                <w:sz w:val="24"/>
                <w:szCs w:val="24"/>
              </w:rPr>
              <w:br/>
              <w:t>Lý do: Theo Bản thuyết minh quy định tại Dự thảo Nghị định có giải thích việc sửa đổi vì lý do khoản 3 Điều 21 Nghị định 53/2013/NĐ-CP giao NHNN hướng dẫn việc trích lập và sử dụng dự phòng rủi ro đối với trái phiếu đặc biệt. Do đó, việc quy định việc trích lập và sử dụng dự phòng rủi ro đối với trái phiếu đặc biệt do VAMC phát hành để mua nợ xấu của TCTD thực hiện theo quy định Thống đốc NHNN về việc mua, bán và xử lý nợ xấu của VAMC (như Thông tư 11) là phù hợp.</w:t>
            </w:r>
          </w:p>
        </w:tc>
        <w:tc>
          <w:tcPr>
            <w:tcW w:w="2268" w:type="dxa"/>
          </w:tcPr>
          <w:p w:rsidR="006B0D2A" w:rsidRPr="00AF7630" w:rsidRDefault="006B0D2A" w:rsidP="0001557F">
            <w:pPr>
              <w:jc w:val="both"/>
              <w:rPr>
                <w:rFonts w:ascii="Times New Roman" w:eastAsia="Times New Roman" w:hAnsi="Times New Roman" w:cs="Times New Roman"/>
                <w:sz w:val="24"/>
                <w:szCs w:val="24"/>
                <w:lang w:val="vi-VN"/>
              </w:rPr>
            </w:pPr>
            <w:r w:rsidRPr="00AF7630">
              <w:rPr>
                <w:rFonts w:ascii="Times New Roman" w:eastAsia="Times New Roman" w:hAnsi="Times New Roman" w:cs="Times New Roman"/>
                <w:sz w:val="24"/>
                <w:szCs w:val="24"/>
                <w:lang w:val="vi-VN"/>
              </w:rPr>
              <w:t>VietinBank</w:t>
            </w:r>
          </w:p>
        </w:tc>
        <w:tc>
          <w:tcPr>
            <w:tcW w:w="4677"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quy định của pháp luật về việc mua, bán và xử lý nợ xấu của VAMC bao gồm cả Nghị định 53/2013/NĐ-CP và Thông tư 19.</w:t>
            </w:r>
          </w:p>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vậy, quy định như tại dự thảo Nghị định là phù hợp.</w:t>
            </w:r>
          </w:p>
        </w:tc>
      </w:tr>
      <w:tr w:rsidR="006B0D2A" w:rsidRPr="00AF7630" w:rsidTr="0069372A">
        <w:tc>
          <w:tcPr>
            <w:tcW w:w="2978" w:type="dxa"/>
          </w:tcPr>
          <w:p w:rsidR="006B0D2A" w:rsidRPr="00AF7630" w:rsidRDefault="006B0D2A"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6 Điều 1 DTNĐ:</w:t>
            </w:r>
          </w:p>
          <w:p w:rsidR="006B0D2A" w:rsidRPr="00AF7630" w:rsidRDefault="006B0D2A"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“6. Trường hợp đặc biệt để </w:t>
            </w:r>
            <w:r w:rsidRPr="00AF7630">
              <w:rPr>
                <w:rFonts w:ascii="Times New Roman" w:eastAsia="Times New Roman" w:hAnsi="Times New Roman" w:cs="Times New Roman"/>
                <w:i/>
                <w:sz w:val="24"/>
                <w:szCs w:val="24"/>
              </w:rPr>
              <w:lastRenderedPageBreak/>
              <w:t>thực hiện nhiệm vụ kinh tế - xã hội, đối ngoại, Thủ tướng Chính phủ quyết định mức trích lập dự phòng rủi ro, phương pháp trích lập dự phòng rủi ro và việc sử dụng dự phòng để xử lý rủi ro trong hoạt động đối với từng trường hợp cụ thể trên cơ sở đề xuất của Ngân hàng Nhà nước Việt Nam (sau đây gọi là Ngân hàng Nhà nước).”</w:t>
            </w:r>
          </w:p>
        </w:tc>
        <w:tc>
          <w:tcPr>
            <w:tcW w:w="5953" w:type="dxa"/>
          </w:tcPr>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Đề nghị sửa cụm từ “</w:t>
            </w:r>
            <w:r w:rsidRPr="00AF7630">
              <w:rPr>
                <w:rFonts w:ascii="Times New Roman" w:eastAsia="Times New Roman" w:hAnsi="Times New Roman" w:cs="Times New Roman"/>
                <w:i/>
                <w:sz w:val="24"/>
                <w:szCs w:val="24"/>
              </w:rPr>
              <w:t xml:space="preserve">của Ngân hàng Nhà nước Việt Nam (sau đây gọi là Ngân hàng Nhà nước)” </w:t>
            </w:r>
            <w:r w:rsidRPr="00AF7630">
              <w:rPr>
                <w:rFonts w:ascii="Times New Roman" w:eastAsia="Times New Roman" w:hAnsi="Times New Roman" w:cs="Times New Roman"/>
                <w:sz w:val="24"/>
                <w:szCs w:val="24"/>
              </w:rPr>
              <w:t>thành</w:t>
            </w:r>
            <w:r w:rsidRPr="00AF7630">
              <w:rPr>
                <w:rFonts w:ascii="Times New Roman" w:eastAsia="Times New Roman" w:hAnsi="Times New Roman" w:cs="Times New Roman"/>
                <w:i/>
                <w:sz w:val="24"/>
                <w:szCs w:val="24"/>
              </w:rPr>
              <w:t xml:space="preserve"> “của Ngân </w:t>
            </w:r>
            <w:r w:rsidRPr="00AF7630">
              <w:rPr>
                <w:rFonts w:ascii="Times New Roman" w:eastAsia="Times New Roman" w:hAnsi="Times New Roman" w:cs="Times New Roman"/>
                <w:i/>
                <w:sz w:val="24"/>
                <w:szCs w:val="24"/>
              </w:rPr>
              <w:lastRenderedPageBreak/>
              <w:t>hàng Nhà nước”.</w:t>
            </w:r>
          </w:p>
          <w:p w:rsidR="006B0D2A" w:rsidRPr="00AF7630" w:rsidRDefault="006B0D2A"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Lý do: Tại điểm i, khoản 2, Điều 1 đã có nội dung gọi tắt Ngân hàng Nhà nước Việt Nam là Ngân hàng Nhà nước.</w:t>
            </w:r>
          </w:p>
        </w:tc>
        <w:tc>
          <w:tcPr>
            <w:tcW w:w="2268" w:type="dxa"/>
          </w:tcPr>
          <w:p w:rsidR="006B0D2A" w:rsidRPr="00AF7630" w:rsidRDefault="005D1475" w:rsidP="005D147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Agribank</w:t>
            </w:r>
          </w:p>
        </w:tc>
        <w:tc>
          <w:tcPr>
            <w:tcW w:w="4677" w:type="dxa"/>
          </w:tcPr>
          <w:p w:rsidR="006B0D2A" w:rsidRPr="00AF7630" w:rsidRDefault="006B0D2A"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Tiếp thu.</w:t>
            </w:r>
          </w:p>
        </w:tc>
      </w:tr>
      <w:tr w:rsidR="005D1475" w:rsidRPr="00AF7630" w:rsidTr="0069372A">
        <w:tc>
          <w:tcPr>
            <w:tcW w:w="2978"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Khoản 2 Điều 2 DTNĐ:</w:t>
            </w:r>
          </w:p>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“2. Chi nhánh ngân hàng nước ngoài được áp dụng chính sách dự phòng rủi ro của ngân hàng nước ngoài để trích lập và sử dụng dự phòng rủi ro sau khi được Ngân hàng Nhà nước chấp thuận.”</w:t>
            </w:r>
          </w:p>
        </w:tc>
        <w:tc>
          <w:tcPr>
            <w:tcW w:w="5953" w:type="dxa"/>
          </w:tcPr>
          <w:p w:rsidR="005D1475" w:rsidRPr="00AF7630" w:rsidRDefault="005D1475" w:rsidP="00224E7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nghị NHNN:</w:t>
            </w:r>
          </w:p>
          <w:p w:rsidR="005D1475" w:rsidRPr="00AF7630" w:rsidRDefault="005D1475" w:rsidP="00224E7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Rà soát, quy định đầy đủ các bộ phận tạo thành của TTHC này tại dự thảo Nghị định để bảo đảm phù hợp với thẩm quyền của Chính phủ, Thống đốc NHNN được giao tại Luật Các tổ chức tín dụng năm 2024 và thẩm quyền ban hành thủ tục hành chính quy định tại Luật Ban hành văn bản quy phạm pháp luật.</w:t>
            </w:r>
          </w:p>
          <w:p w:rsidR="005D1475" w:rsidRPr="00AF7630" w:rsidRDefault="005D1475" w:rsidP="00224E7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Nghiên cứu, sửa đổi, bổ sung để hoàn thiện TTHC theo hướng: (i) Quy định cụ thể số lượng, thành phần hồ sơ, hạn chế tối đa việc quy định hồ sơ không cụ thể, gây khó khăn cho đối tượng thực hiện; (ii) mẫu hóa văn bản của chi nhánh ngân hàng nước ngoài đề nghị NHNN chấp thuận cho phép áp dụng chính sách dự phòng rủi ro của ngân hàng nước ngoài; (iii) bổ sung quy định thực hiện TTHC theo phương thức trực tuyến để tạo thuận lợi, thêm lựa chọn cho đối tượng thực hiện; (iv) bổ sung quy định thời hạn NHNN kiểm tra tính đầy đủ, hợp lệ của hồ sơ để tạo thuận lợi, rút ngắn thời hạn giải quyết TTHC trong trường hợp hồ sơ chưa đầy đủ, hợp lệ.</w:t>
            </w:r>
          </w:p>
        </w:tc>
        <w:tc>
          <w:tcPr>
            <w:tcW w:w="2268" w:type="dxa"/>
          </w:tcPr>
          <w:p w:rsidR="005D1475" w:rsidRPr="00AF7630" w:rsidRDefault="005D1475" w:rsidP="00224E7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Văn phòng Chính phủ</w:t>
            </w:r>
          </w:p>
        </w:tc>
        <w:tc>
          <w:tcPr>
            <w:tcW w:w="4677" w:type="dxa"/>
          </w:tcPr>
          <w:p w:rsidR="005D1475" w:rsidRPr="00AF7630" w:rsidRDefault="005D1475" w:rsidP="005D1475">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Tiếp thu</w:t>
            </w:r>
          </w:p>
          <w:p w:rsidR="005D1475" w:rsidRPr="00AF7630" w:rsidRDefault="005D1475" w:rsidP="005D1475">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 Trên cơ sở quy định tại khoản 3 Điều 147 Luật các TCTD 2024 quy định: </w:t>
            </w:r>
            <w:r w:rsidRPr="00AF7630">
              <w:rPr>
                <w:rFonts w:ascii="Times New Roman" w:eastAsia="Times New Roman" w:hAnsi="Times New Roman" w:cs="Times New Roman"/>
                <w:i/>
                <w:sz w:val="24"/>
                <w:szCs w:val="24"/>
              </w:rPr>
              <w:t xml:space="preserve">“3. …Mức trích lập dự phòng rủi ro, phương pháp trích lập dự phòng rủi ro và </w:t>
            </w:r>
            <w:r w:rsidRPr="00AF7630">
              <w:rPr>
                <w:rFonts w:ascii="Times New Roman" w:eastAsia="Times New Roman" w:hAnsi="Times New Roman" w:cs="Times New Roman"/>
                <w:b/>
                <w:i/>
                <w:sz w:val="24"/>
                <w:szCs w:val="24"/>
              </w:rPr>
              <w:t xml:space="preserve">việc sử dụng dự phòng để xử lý rủi ro </w:t>
            </w:r>
            <w:r w:rsidRPr="00AF7630">
              <w:rPr>
                <w:rFonts w:ascii="Times New Roman" w:eastAsia="Times New Roman" w:hAnsi="Times New Roman" w:cs="Times New Roman"/>
                <w:i/>
                <w:sz w:val="24"/>
                <w:szCs w:val="24"/>
              </w:rPr>
              <w:t>trong hoạt động của tổ chức tín dụng, chi nhánh ngân hàng nước ngoài thực hiện theo quy định của Chính phủ.”</w:t>
            </w:r>
            <w:r w:rsidRPr="00AF7630">
              <w:rPr>
                <w:rFonts w:ascii="Times New Roman" w:eastAsia="Times New Roman" w:hAnsi="Times New Roman" w:cs="Times New Roman"/>
                <w:sz w:val="24"/>
                <w:szCs w:val="24"/>
              </w:rPr>
              <w:t xml:space="preserve"> và để đảm bảo phù hợp, thống nhất cách hiểu quy định tại dự thảo Nghị định và quy định Dự thảo Thông tư về phân loại nợ là 01 TTHC, khoản 2 Điều 2 dự thảo Nghị định được chỉnh sửa như sau: </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2. Chi nhánh ngân hàng nước ngoài</w:t>
            </w:r>
            <w:r w:rsidRPr="00AF7630">
              <w:rPr>
                <w:rFonts w:ascii="Times New Roman" w:eastAsia="Times New Roman" w:hAnsi="Times New Roman" w:cs="Times New Roman"/>
                <w:i/>
                <w:sz w:val="24"/>
                <w:szCs w:val="24"/>
              </w:rPr>
              <w:t xml:space="preserve"> được </w:t>
            </w:r>
            <w:r w:rsidRPr="00AF7630">
              <w:rPr>
                <w:rFonts w:ascii="Times New Roman" w:eastAsia="Times New Roman" w:hAnsi="Times New Roman" w:cs="Times New Roman"/>
                <w:i/>
                <w:sz w:val="24"/>
                <w:szCs w:val="24"/>
                <w:lang w:val="vi-VN"/>
              </w:rPr>
              <w:t xml:space="preserve">áp dụng chính sách dự phòng rủi ro của ngân hàng nước ngoài </w:t>
            </w:r>
            <w:r w:rsidRPr="00AF7630">
              <w:rPr>
                <w:rFonts w:ascii="Times New Roman" w:eastAsia="Times New Roman" w:hAnsi="Times New Roman" w:cs="Times New Roman"/>
                <w:i/>
                <w:sz w:val="24"/>
                <w:szCs w:val="24"/>
                <w:u w:val="single"/>
                <w:lang w:val="vi-VN"/>
              </w:rPr>
              <w:t xml:space="preserve">để </w:t>
            </w:r>
            <w:r w:rsidRPr="00AF7630">
              <w:rPr>
                <w:rFonts w:ascii="Times New Roman" w:eastAsia="Times New Roman" w:hAnsi="Times New Roman" w:cs="Times New Roman"/>
                <w:i/>
                <w:sz w:val="24"/>
                <w:szCs w:val="24"/>
                <w:u w:val="single"/>
              </w:rPr>
              <w:t>phân loại nợ</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trích lập và sử dụng dự phòng</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u w:val="single"/>
              </w:rPr>
              <w:t>để xử lý</w:t>
            </w:r>
            <w:r w:rsidRPr="00AF7630">
              <w:rPr>
                <w:rFonts w:ascii="Times New Roman" w:eastAsia="Times New Roman" w:hAnsi="Times New Roman" w:cs="Times New Roman"/>
                <w:i/>
                <w:sz w:val="24"/>
                <w:szCs w:val="24"/>
                <w:u w:val="single"/>
                <w:lang w:val="vi-VN"/>
              </w:rPr>
              <w:t xml:space="preserve"> rủi ro</w:t>
            </w:r>
            <w:r w:rsidRPr="00AF7630">
              <w:rPr>
                <w:rFonts w:ascii="Times New Roman" w:eastAsia="Times New Roman" w:hAnsi="Times New Roman" w:cs="Times New Roman"/>
                <w:i/>
                <w:sz w:val="24"/>
                <w:szCs w:val="24"/>
              </w:rPr>
              <w:t xml:space="preserve"> sau khi được </w:t>
            </w:r>
            <w:r w:rsidRPr="00AF7630">
              <w:rPr>
                <w:rFonts w:ascii="Times New Roman" w:eastAsia="Times New Roman" w:hAnsi="Times New Roman" w:cs="Times New Roman"/>
                <w:i/>
                <w:sz w:val="24"/>
                <w:szCs w:val="24"/>
                <w:lang w:val="vi-VN"/>
              </w:rPr>
              <w:t>Ngân hàng Nhà nước chấp thuận</w:t>
            </w:r>
            <w:r w:rsidRPr="00AF7630">
              <w:rPr>
                <w:rFonts w:ascii="Times New Roman" w:eastAsia="Times New Roman" w:hAnsi="Times New Roman" w:cs="Times New Roman"/>
                <w:i/>
                <w:sz w:val="24"/>
                <w:szCs w:val="24"/>
              </w:rPr>
              <w:t>, trừ quy định tại Điều 12 Nghị định này.</w:t>
            </w:r>
          </w:p>
          <w:p w:rsidR="005D1475" w:rsidRPr="00AF7630" w:rsidRDefault="005D1475" w:rsidP="005D1475">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Đồng thời, bổ sung bổ sung quy định tại khoản 2, 3 Điều 13 dự thảo Nghị định quy định về hồ sơ, trình tự, thủ tục hành chính theo hướng kế thừa và có chỉnh sửa làm rõ các quy định tại Thông tư 11/2021/TT-</w:t>
            </w:r>
            <w:r w:rsidRPr="00AF7630">
              <w:rPr>
                <w:rFonts w:ascii="Times New Roman" w:eastAsia="Times New Roman" w:hAnsi="Times New Roman" w:cs="Times New Roman"/>
                <w:sz w:val="24"/>
                <w:szCs w:val="24"/>
              </w:rPr>
              <w:lastRenderedPageBreak/>
              <w:t>NHNN, cụ thể như sau:</w:t>
            </w:r>
          </w:p>
          <w:p w:rsidR="005D1475" w:rsidRPr="00AF7630" w:rsidRDefault="005D1475" w:rsidP="005D1475">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“2. Hồ sơ đề nghị chấp thuận</w:t>
            </w:r>
          </w:p>
          <w:p w:rsidR="005D1475" w:rsidRPr="00AF7630" w:rsidRDefault="005D1475" w:rsidP="005D1475">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a) Văn bản đề nghị Ngân hàng Nhà nước chấp thuận áp dụng chính sách dự phòng rủi ro của ngân hàng nước ngoài;</w:t>
            </w:r>
          </w:p>
          <w:p w:rsidR="005D1475" w:rsidRPr="00AF7630" w:rsidRDefault="005D1475" w:rsidP="005D1475">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b) Bản sao chính sách dự phòng rủi ro của ngân hàng nước ngoài;</w:t>
            </w:r>
          </w:p>
          <w:p w:rsidR="005D1475" w:rsidRPr="00AF7630" w:rsidRDefault="005D1475" w:rsidP="005D1475">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c) Văn bản xác nhận của chi nhánh ngân hàng nước ngoài và tài liệu chứng minh đáp ứng đủ điều kiện quy định tại khoản 1 Điều này.</w:t>
            </w:r>
          </w:p>
          <w:p w:rsidR="005D1475" w:rsidRPr="00AF7630" w:rsidRDefault="005D1475" w:rsidP="005D1475">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3. Trình tự, thủ tục chấp thuận</w:t>
            </w:r>
          </w:p>
          <w:p w:rsidR="005D1475" w:rsidRPr="00AF7630" w:rsidRDefault="005D1475" w:rsidP="005D1475">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a) Chi nhánh ngân hàng nước ngoài lập 01 bộ hồ sơ theo quy định tại khoản 2 Điều này nộp trực tiếp tại Bộ phận Một cửa hoặc qua dịch vụ bưu chính đến Ngân hàng Nhà nước. Trường hợp hồ sơ chưa đầy đủ, hợp lệ, trong thời hạn 05 ngày làm việc kể từ ngày nhận được hồ sơ, Ngân hàng Nhà nước có văn bản yêu cầu chi nhánh ngân hàng nước ngoài bổ sung hồ sơ.</w:t>
            </w:r>
          </w:p>
          <w:p w:rsidR="005D1475" w:rsidRPr="00AF7630" w:rsidRDefault="005D1475" w:rsidP="005D1475">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u w:val="single"/>
              </w:rPr>
              <w:t>b) Trong thời gian 30 (ba mươi) ngày kể từ ngày ngày nhận đầy đủ hồ sơ theo quy định tại khoản 2 Điều này, Ngân hàng Nhà nước có văn bản chấp thuận hoặc không chấp thuận cho chi nhánh ngân hàng nước ngoài. Trường hợp không chấp thuận, Ngân hàng Nhà nước có văn bản nêu rõ lý do.”</w:t>
            </w:r>
          </w:p>
        </w:tc>
      </w:tr>
      <w:tr w:rsidR="005D1475" w:rsidRPr="00AF7630" w:rsidTr="0069372A">
        <w:tc>
          <w:tcPr>
            <w:tcW w:w="2978"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3 Điều 2 DTNĐ:</w:t>
            </w:r>
          </w:p>
          <w:p w:rsidR="005D1475" w:rsidRPr="00AF7630" w:rsidRDefault="005D147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“3. Chi nhánh ngân hàng nước ngoài được thực hiện theo quy định tại khoản 2 Điều này khi đáp ứng điều kiện trong 03 (ba) năm tài chính gần nhất trước thời điểm đề nghị Ngân hàng Nhà nước chấp thuận, tổng </w:t>
            </w:r>
            <w:r w:rsidRPr="00AF7630">
              <w:rPr>
                <w:rFonts w:ascii="Times New Roman" w:eastAsia="Times New Roman" w:hAnsi="Times New Roman" w:cs="Times New Roman"/>
                <w:i/>
                <w:sz w:val="24"/>
                <w:szCs w:val="24"/>
              </w:rPr>
              <w:lastRenderedPageBreak/>
              <w:t xml:space="preserve">số tiền dự phòng cụ thể hằng năm được xác định theo chính sách dự phòng rủi ro của ngân hàng nước ngoài dự kiến áp dụng không thấp hơn tổng số tiền trích lập dự phòng cụ thể hằng năm thực hiện theo </w:t>
            </w:r>
            <w:r w:rsidRPr="00AF7630">
              <w:rPr>
                <w:rFonts w:ascii="Times New Roman" w:eastAsia="Times New Roman" w:hAnsi="Times New Roman" w:cs="Times New Roman"/>
                <w:i/>
                <w:sz w:val="24"/>
                <w:szCs w:val="24"/>
                <w:lang w:val="vi-VN"/>
              </w:rPr>
              <w:t xml:space="preserve">quy định tại </w:t>
            </w:r>
            <w:r w:rsidRPr="00AF7630">
              <w:rPr>
                <w:rFonts w:ascii="Times New Roman" w:eastAsia="Times New Roman" w:hAnsi="Times New Roman" w:cs="Times New Roman"/>
                <w:i/>
                <w:sz w:val="24"/>
                <w:szCs w:val="24"/>
              </w:rPr>
              <w:t>Nghị định này.”</w:t>
            </w:r>
          </w:p>
        </w:tc>
        <w:tc>
          <w:tcPr>
            <w:tcW w:w="5953" w:type="dxa"/>
          </w:tcPr>
          <w:p w:rsidR="005D1475" w:rsidRPr="00AF7630" w:rsidRDefault="005D147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Chúng tôi đề nghị NHNN xem xét về tiêu chí “tiên tiến và ưu việt hơn” cần phải được đánh giá toàn diện về mặt phương pháp, theo các chuẩn mực quốc tế chứ không nên dựa vào tổng số tiền trích lập dự phòng như quy định tại Điều 2.3 của dự thảo nghị định.</w:t>
            </w:r>
          </w:p>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Cs/>
                <w:sz w:val="24"/>
                <w:szCs w:val="24"/>
              </w:rPr>
              <w:t>Đề xuất cụ thể: Giữ lại điểm 2.2 và xóa điểm 2.3 của dự thảo nghị định.</w:t>
            </w:r>
          </w:p>
        </w:tc>
        <w:tc>
          <w:tcPr>
            <w:tcW w:w="2268"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MUFG Bank, Ltd. – CN TP. Hà Nội/CN TP. Hồ Chí Minh</w:t>
            </w:r>
          </w:p>
        </w:tc>
        <w:tc>
          <w:tcPr>
            <w:tcW w:w="4677"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Chính sách trích lập tại Dự thảo Nghị định hướng tới yêu cầu về tổng số tiền dự phòng rủi ro </w:t>
            </w:r>
            <w:r w:rsidRPr="00AF7630">
              <w:rPr>
                <w:rFonts w:ascii="Times New Roman" w:eastAsia="Times New Roman" w:hAnsi="Times New Roman" w:cs="Times New Roman"/>
                <w:bCs/>
                <w:sz w:val="24"/>
                <w:szCs w:val="24"/>
              </w:rPr>
              <w:t xml:space="preserve">nên cần thiết quy định về tiêu chí </w:t>
            </w:r>
            <w:r w:rsidRPr="00AF7630">
              <w:rPr>
                <w:rFonts w:ascii="Times New Roman" w:eastAsia="Times New Roman" w:hAnsi="Times New Roman" w:cs="Times New Roman"/>
                <w:sz w:val="24"/>
                <w:szCs w:val="24"/>
              </w:rPr>
              <w:t>tổng số tiền dự phòng rủi ro tại khoản 3 Điều 2. Đồng thời, tiêu chí này đã được quy định cụ thể hơn so với quy định tại Thông tư 11, làm cơ sở để NHNN xem xét, chấp thuận.</w:t>
            </w:r>
          </w:p>
        </w:tc>
      </w:tr>
      <w:tr w:rsidR="005D1475" w:rsidRPr="00AF7630" w:rsidTr="0069372A">
        <w:tc>
          <w:tcPr>
            <w:tcW w:w="2978" w:type="dxa"/>
            <w:vMerge w:val="restart"/>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Điều 3 DTNĐ</w:t>
            </w:r>
          </w:p>
        </w:tc>
        <w:tc>
          <w:tcPr>
            <w:tcW w:w="5953"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Bổ sung Điều 3 Giải thích từ ngữ Lãi phải thu phải thoái</w:t>
            </w:r>
          </w:p>
        </w:tc>
        <w:tc>
          <w:tcPr>
            <w:tcW w:w="2268"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Sumitomo Mitsui Banking Corporation – CN Hà Nội/ CN TP.Hồ Chí Minh</w:t>
            </w:r>
          </w:p>
        </w:tc>
        <w:tc>
          <w:tcPr>
            <w:tcW w:w="4677" w:type="dxa"/>
          </w:tcPr>
          <w:p w:rsidR="005D1475" w:rsidRPr="00AF7630" w:rsidDel="00C37B2E"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pháp luật về kế toán và chế độ tài chính của TCTD, chi nhánh NHNg đã quy định cụ thể về việc ghi nhận lãi phải thu; các trường hợp không đủ điều kiện để được ghi nhận lãi phải thu.</w:t>
            </w:r>
          </w:p>
          <w:p w:rsidR="005D1475" w:rsidRPr="00AF7630" w:rsidRDefault="005D1475" w:rsidP="0001557F">
            <w:pPr>
              <w:jc w:val="both"/>
              <w:rPr>
                <w:rFonts w:ascii="Times New Roman" w:eastAsia="Times New Roman" w:hAnsi="Times New Roman" w:cs="Times New Roman"/>
                <w:sz w:val="24"/>
                <w:szCs w:val="24"/>
              </w:rPr>
            </w:pPr>
          </w:p>
        </w:tc>
      </w:tr>
      <w:tr w:rsidR="005D1475" w:rsidRPr="00AF7630" w:rsidTr="0069372A">
        <w:tc>
          <w:tcPr>
            <w:tcW w:w="2978" w:type="dxa"/>
            <w:vMerge/>
          </w:tcPr>
          <w:p w:rsidR="005D1475" w:rsidRPr="00AF7630" w:rsidRDefault="005D1475" w:rsidP="0001557F">
            <w:pPr>
              <w:jc w:val="both"/>
              <w:rPr>
                <w:rFonts w:ascii="Times New Roman" w:eastAsia="Times New Roman" w:hAnsi="Times New Roman" w:cs="Times New Roman"/>
                <w:sz w:val="24"/>
                <w:szCs w:val="24"/>
              </w:rPr>
            </w:pPr>
          </w:p>
        </w:tc>
        <w:tc>
          <w:tcPr>
            <w:tcW w:w="5953" w:type="dxa"/>
          </w:tcPr>
          <w:p w:rsidR="005D1475" w:rsidRPr="00AF7630" w:rsidRDefault="005D1475" w:rsidP="0001557F">
            <w:pPr>
              <w:pStyle w:val="ListParagraph"/>
              <w:ind w:left="0"/>
              <w:contextualSpacing w:val="0"/>
              <w:jc w:val="both"/>
              <w:rPr>
                <w:rFonts w:ascii="Times New Roman" w:hAnsi="Times New Roman" w:cs="Times New Roman"/>
                <w:sz w:val="24"/>
                <w:szCs w:val="24"/>
              </w:rPr>
            </w:pPr>
            <w:r w:rsidRPr="00AF7630">
              <w:rPr>
                <w:rFonts w:ascii="Times New Roman" w:eastAsia="Times New Roman" w:hAnsi="Times New Roman" w:cs="Times New Roman"/>
                <w:color w:val="000000"/>
                <w:sz w:val="24"/>
                <w:szCs w:val="24"/>
              </w:rPr>
              <w:t xml:space="preserve">Chưa có giải thích từ ngữ về "các cam kết khác phát sinh rủi ro tín dụng". Đề nghị Tổ soạn thảo xem xét bổ sung quy định giải thích từ ngữ về </w:t>
            </w:r>
            <w:r w:rsidRPr="00AF7630">
              <w:rPr>
                <w:rFonts w:ascii="Times New Roman" w:eastAsia="Times New Roman" w:hAnsi="Times New Roman" w:cs="Times New Roman"/>
                <w:i/>
                <w:iCs/>
                <w:color w:val="000000"/>
                <w:sz w:val="24"/>
                <w:szCs w:val="24"/>
              </w:rPr>
              <w:t xml:space="preserve">"các cam kết khác phát sinh rủi ro tín dụng" </w:t>
            </w:r>
            <w:r w:rsidRPr="00AF7630">
              <w:rPr>
                <w:rFonts w:ascii="Times New Roman" w:eastAsia="Times New Roman" w:hAnsi="Times New Roman" w:cs="Times New Roman"/>
                <w:color w:val="000000"/>
                <w:sz w:val="24"/>
                <w:szCs w:val="24"/>
              </w:rPr>
              <w:t>(được nhắc đến tại điểm e Khoản 1 Điều 1 Dự thảo Nghị định) theo hướng phù hợp, thống nhất với nội dung quy định tại Khoản 9 Điều 3 Dự thảo Thông tư quy định phân loại tài sản có của NHNN để các TCTD thống nhất cách hiểu và áp dụng.</w:t>
            </w:r>
          </w:p>
        </w:tc>
        <w:tc>
          <w:tcPr>
            <w:tcW w:w="2268" w:type="dxa"/>
          </w:tcPr>
          <w:p w:rsidR="005D1475" w:rsidRPr="00AF7630" w:rsidRDefault="005D1475" w:rsidP="0001557F">
            <w:pPr>
              <w:pStyle w:val="ListParagraph"/>
              <w:ind w:left="0"/>
              <w:contextualSpacing w:val="0"/>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VietinBank</w:t>
            </w:r>
          </w:p>
        </w:tc>
        <w:tc>
          <w:tcPr>
            <w:tcW w:w="4677" w:type="dxa"/>
          </w:tcPr>
          <w:p w:rsidR="005D1475" w:rsidRPr="00AF7630" w:rsidRDefault="005D147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Đã chỉnh sửa cụm từ “các cam kết khác phát sinh rủi ro tín dụng” thành “các khoản trả thay khác theo cam kết ngoại bảng” tại điểm e khoản 2 Điều 1 dự thảo Nghị định như sau: </w:t>
            </w:r>
            <w:r w:rsidRPr="00AF7630">
              <w:rPr>
                <w:rFonts w:ascii="Times New Roman" w:eastAsia="Times New Roman" w:hAnsi="Times New Roman" w:cs="Times New Roman"/>
                <w:i/>
                <w:sz w:val="24"/>
                <w:szCs w:val="24"/>
              </w:rPr>
              <w:t>“e) Trả thay theo cam kết ngoại bảng (bao gồm khoản trả thay nghĩa vụ của khách hàng trong hoạt động bảo lãnh, nghiệp vụ phát hành thư tín dụng, nghiệp vụ xác nhận thư tín dụng và các khoản trả thay khác theo cam kết ngoại bảng);”</w:t>
            </w:r>
          </w:p>
        </w:tc>
      </w:tr>
      <w:tr w:rsidR="005D1475" w:rsidRPr="00AF7630" w:rsidTr="0069372A">
        <w:tc>
          <w:tcPr>
            <w:tcW w:w="2978"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1 Điều 3 DTNĐ:</w:t>
            </w:r>
          </w:p>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w:t>
            </w:r>
            <w:r w:rsidRPr="00AF7630">
              <w:rPr>
                <w:rFonts w:ascii="Times New Roman" w:eastAsia="Times New Roman" w:hAnsi="Times New Roman" w:cs="Times New Roman"/>
                <w:i/>
                <w:iCs/>
                <w:sz w:val="24"/>
                <w:szCs w:val="24"/>
              </w:rPr>
              <w:t xml:space="preserve">1. Rủi ro tín dụng trong hoạt động ngân hàng (sau đây gọi là rủi ro) là khả năng xảy ra tổn thất đối với nợ của tổ chức tín dụng, chi nhánh ngân hàng nước ngoài do khách hàng không có khả năng trả được một phần hoặc toàn bộ nợ của mình theo hợp đồng hoặc thỏa thuận (sau đây gọi là </w:t>
            </w:r>
            <w:r w:rsidRPr="00AF7630">
              <w:rPr>
                <w:rFonts w:ascii="Times New Roman" w:eastAsia="Times New Roman" w:hAnsi="Times New Roman" w:cs="Times New Roman"/>
                <w:i/>
                <w:iCs/>
                <w:sz w:val="24"/>
                <w:szCs w:val="24"/>
              </w:rPr>
              <w:lastRenderedPageBreak/>
              <w:t>thỏa thuận) với tổ chức tín dụng, chi nhánh ngân hàng nước ngoài”</w:t>
            </w:r>
          </w:p>
        </w:tc>
        <w:tc>
          <w:tcPr>
            <w:tcW w:w="5953" w:type="dxa"/>
          </w:tcPr>
          <w:p w:rsidR="005D1475" w:rsidRPr="00AF7630" w:rsidRDefault="005D1475" w:rsidP="0001557F">
            <w:pPr>
              <w:pStyle w:val="ListParagraph"/>
              <w:ind w:left="0" w:firstLine="182"/>
              <w:contextualSpacing w:val="0"/>
              <w:jc w:val="both"/>
              <w:rPr>
                <w:rFonts w:ascii="Times New Roman" w:hAnsi="Times New Roman" w:cs="Times New Roman"/>
                <w:i/>
                <w:iCs/>
                <w:sz w:val="24"/>
                <w:szCs w:val="24"/>
              </w:rPr>
            </w:pPr>
            <w:r w:rsidRPr="00AF7630">
              <w:rPr>
                <w:rFonts w:ascii="Times New Roman" w:hAnsi="Times New Roman" w:cs="Times New Roman"/>
                <w:sz w:val="24"/>
                <w:szCs w:val="24"/>
              </w:rPr>
              <w:lastRenderedPageBreak/>
              <w:t xml:space="preserve">Khoản 24 Điều 3 Thông tư 41/2016/TT-NHNN ngày 30/12/2016 của NHNN quy định: “ </w:t>
            </w:r>
            <w:r w:rsidRPr="00AF7630">
              <w:rPr>
                <w:rFonts w:ascii="Times New Roman" w:hAnsi="Times New Roman" w:cs="Times New Roman"/>
                <w:i/>
                <w:iCs/>
                <w:sz w:val="24"/>
                <w:szCs w:val="24"/>
              </w:rPr>
              <w:t>Rủi ro tín dụng là rủi ro do khách hàng không thực hiện hoặc không có khả năng thực hiện một phần hoặc toàn bộ nghĩa vụ trả nợ theo hợp đồng hoặc thỏa thuận với ngân hàng, chi nhánh ngân hàng nước ngoài”</w:t>
            </w:r>
          </w:p>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Như vậy, định nghĩa về rủi ro tín dụng tại Dự thảo Nghị định và Thông tư 41/2016/TT-NHNN ngày 30/12/2016 có sự khác nhau về mức độ đánh giá. Để thống nhất giữa 02 Quy định trên, kính đề nghị Đơn vị soạn thảo xem xét lại nội dung này.</w:t>
            </w:r>
          </w:p>
        </w:tc>
        <w:tc>
          <w:tcPr>
            <w:tcW w:w="2268" w:type="dxa"/>
          </w:tcPr>
          <w:p w:rsidR="005D1475" w:rsidRPr="00AF7630" w:rsidRDefault="005D1475" w:rsidP="0001557F">
            <w:pPr>
              <w:jc w:val="both"/>
              <w:rPr>
                <w:rFonts w:ascii="Times New Roman" w:hAnsi="Times New Roman" w:cs="Times New Roman"/>
                <w:sz w:val="24"/>
                <w:szCs w:val="24"/>
              </w:rPr>
            </w:pPr>
            <w:r w:rsidRPr="00AF7630">
              <w:rPr>
                <w:rFonts w:ascii="Times New Roman" w:hAnsi="Times New Roman" w:cs="Times New Roman"/>
                <w:sz w:val="24"/>
                <w:szCs w:val="24"/>
              </w:rPr>
              <w:t>SAIGONBANK</w:t>
            </w:r>
          </w:p>
        </w:tc>
        <w:tc>
          <w:tcPr>
            <w:tcW w:w="4677" w:type="dxa"/>
          </w:tcPr>
          <w:p w:rsidR="005D1475" w:rsidRPr="00AF7630" w:rsidRDefault="005D147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Khái niệm “</w:t>
            </w:r>
            <w:r w:rsidRPr="00AF7630">
              <w:rPr>
                <w:rFonts w:ascii="Times New Roman" w:hAnsi="Times New Roman" w:cs="Times New Roman"/>
                <w:i/>
                <w:iCs/>
                <w:sz w:val="24"/>
                <w:szCs w:val="24"/>
              </w:rPr>
              <w:t>Rủi ro tín dụng</w:t>
            </w:r>
            <w:r w:rsidRPr="00AF7630">
              <w:rPr>
                <w:rFonts w:ascii="Times New Roman" w:eastAsia="Times New Roman" w:hAnsi="Times New Roman" w:cs="Times New Roman"/>
                <w:sz w:val="24"/>
                <w:szCs w:val="24"/>
              </w:rPr>
              <w:t>” tại dự thảo Nghị định được xây dựng trên cơ sở kế thừa quy định tại Thông tư 11 và sử dụng khái niệm này cho việc phân loại nợ, trích lập và sử dụng dự phòng để xử lý rủi ro.</w:t>
            </w:r>
          </w:p>
        </w:tc>
      </w:tr>
      <w:tr w:rsidR="0054066C" w:rsidRPr="00AF7630" w:rsidTr="0069372A">
        <w:tc>
          <w:tcPr>
            <w:tcW w:w="2978" w:type="dxa"/>
            <w:vMerge w:val="restart"/>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2 Điều 3 DTNĐ:</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2. Khoản nợ là số tiền tổ chức tín dụng, chi nhánh ngân hàng nước ngoài đã gửi, thanh toán</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 giải ngân</w:t>
            </w:r>
            <w:r w:rsidRPr="00AF7630">
              <w:rPr>
                <w:rFonts w:ascii="Times New Roman" w:eastAsia="Times New Roman" w:hAnsi="Times New Roman" w:cs="Times New Roman"/>
                <w:i/>
                <w:sz w:val="24"/>
                <w:szCs w:val="24"/>
              </w:rPr>
              <w:t xml:space="preserve"> t</w:t>
            </w:r>
            <w:r w:rsidRPr="00AF7630">
              <w:rPr>
                <w:rFonts w:ascii="Times New Roman" w:eastAsia="Times New Roman" w:hAnsi="Times New Roman" w:cs="Times New Roman"/>
                <w:i/>
                <w:sz w:val="24"/>
                <w:szCs w:val="24"/>
                <w:lang w:val="vi-VN"/>
              </w:rPr>
              <w:t>ừng lần</w:t>
            </w:r>
            <w:r w:rsidRPr="00AF7630">
              <w:rPr>
                <w:rFonts w:ascii="Times New Roman" w:eastAsia="Times New Roman" w:hAnsi="Times New Roman" w:cs="Times New Roman"/>
                <w:i/>
                <w:sz w:val="24"/>
                <w:szCs w:val="24"/>
              </w:rPr>
              <w:t xml:space="preserve"> (đối với trường hợp mỗi lần giải ngân có một thời hạn, kỳ hạn trả nợ khác nhau) hoặc số tiền tổ chức tín dụng, chi nhánh ngân hàng nước ngoài đã giải ngân theo thỏa thuận (đối với trường hợp nhiều lần giải ngân nhưng có thời điểm cuối cùng của thời hạn và kỳ hạn trả nợ giống nhau) đối</w:t>
            </w:r>
            <w:r w:rsidRPr="00AF7630">
              <w:rPr>
                <w:rFonts w:ascii="Times New Roman" w:eastAsia="Times New Roman" w:hAnsi="Times New Roman" w:cs="Times New Roman"/>
                <w:i/>
                <w:sz w:val="24"/>
                <w:szCs w:val="24"/>
                <w:lang w:val="vi-VN"/>
              </w:rPr>
              <w:t xml:space="preserve"> với nợ </w:t>
            </w:r>
            <w:r w:rsidRPr="00AF7630">
              <w:rPr>
                <w:rFonts w:ascii="Times New Roman" w:eastAsia="Times New Roman" w:hAnsi="Times New Roman" w:cs="Times New Roman"/>
                <w:i/>
                <w:sz w:val="24"/>
                <w:szCs w:val="24"/>
              </w:rPr>
              <w:t xml:space="preserve">của một khách hàng </w:t>
            </w:r>
            <w:r w:rsidRPr="00AF7630">
              <w:rPr>
                <w:rFonts w:ascii="Times New Roman" w:eastAsia="Times New Roman" w:hAnsi="Times New Roman" w:cs="Times New Roman"/>
                <w:i/>
                <w:sz w:val="24"/>
                <w:szCs w:val="24"/>
                <w:lang w:val="vi-VN"/>
              </w:rPr>
              <w:t>mà khách hàng</w:t>
            </w:r>
            <w:r w:rsidRPr="00AF7630">
              <w:rPr>
                <w:rFonts w:ascii="Times New Roman" w:eastAsia="Times New Roman" w:hAnsi="Times New Roman" w:cs="Times New Roman"/>
                <w:i/>
                <w:sz w:val="24"/>
                <w:szCs w:val="24"/>
              </w:rPr>
              <w:t xml:space="preserve"> đó</w:t>
            </w:r>
            <w:r w:rsidRPr="00AF7630">
              <w:rPr>
                <w:rFonts w:ascii="Times New Roman" w:eastAsia="Times New Roman" w:hAnsi="Times New Roman" w:cs="Times New Roman"/>
                <w:i/>
                <w:sz w:val="24"/>
                <w:szCs w:val="24"/>
                <w:lang w:val="vi-VN"/>
              </w:rPr>
              <w:t xml:space="preserve"> chưa hoàn trả</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sz w:val="24"/>
                <w:szCs w:val="24"/>
              </w:rPr>
              <w:t>”</w:t>
            </w:r>
          </w:p>
        </w:tc>
        <w:tc>
          <w:tcPr>
            <w:tcW w:w="5953" w:type="dxa"/>
          </w:tcPr>
          <w:p w:rsidR="0054066C" w:rsidRPr="00AF7630" w:rsidRDefault="0054066C" w:rsidP="000A69D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Tại khoản 2, điều 3: Đề nghị bổ sung cách xác định “khoản nợ” đối với cấp tín dụng dưới hình thức phát hành thẻ tín dụng</w:t>
            </w:r>
          </w:p>
        </w:tc>
        <w:tc>
          <w:tcPr>
            <w:tcW w:w="2268" w:type="dxa"/>
          </w:tcPr>
          <w:p w:rsidR="0054066C" w:rsidRPr="00AF7630" w:rsidRDefault="0054066C" w:rsidP="000A69D7">
            <w:pPr>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Ngân hàng Liên doanh Việt Nga</w:t>
            </w:r>
          </w:p>
        </w:tc>
        <w:tc>
          <w:tcPr>
            <w:tcW w:w="4677" w:type="dxa"/>
            <w:vMerge w:val="restart"/>
          </w:tcPr>
          <w:p w:rsidR="0054066C" w:rsidRPr="00AF7630" w:rsidRDefault="0054066C" w:rsidP="000A69D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Khái niệm “khoản nợ” tại khoản 2 Điều 3 Dự thảo Nghị định đã phù hợp để xác định khoản nợ dưới hình thức phát hành thẻ tín dụng.</w:t>
            </w: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A69D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Kính đề xuất NHNN hướng dẫn rõ thêm: 01 (một) Thẻ tín dụng có n lần giải ngân với thời hạn, kỳ hạn khác nhau có phải là n khoản nợ khác nhau không? </w:t>
            </w:r>
          </w:p>
        </w:tc>
        <w:tc>
          <w:tcPr>
            <w:tcW w:w="2268" w:type="dxa"/>
          </w:tcPr>
          <w:p w:rsidR="0054066C" w:rsidRPr="00AF7630" w:rsidRDefault="0054066C" w:rsidP="000A69D7">
            <w:pPr>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Sacombank</w:t>
            </w:r>
          </w:p>
        </w:tc>
        <w:tc>
          <w:tcPr>
            <w:tcW w:w="4677" w:type="dxa"/>
            <w:vMerge/>
          </w:tcPr>
          <w:p w:rsidR="0054066C" w:rsidRPr="00AF7630" w:rsidRDefault="0054066C" w:rsidP="000A69D7">
            <w:pPr>
              <w:jc w:val="both"/>
              <w:rPr>
                <w:rFonts w:ascii="Times New Roman" w:eastAsia="Times New Roman" w:hAnsi="Times New Roman" w:cs="Times New Roman"/>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A69D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Nội dung tại Điều 1 thì phạm vi trích lập dự phòng bao gồm cả các cam kết ngoại bảng thì cần phải điều chỉnh lại khái niệm khoản nợ tại Nghị định này để đảm bảo bao gồm số dư của các cam kết ngoại bảng.</w:t>
            </w:r>
          </w:p>
        </w:tc>
        <w:tc>
          <w:tcPr>
            <w:tcW w:w="2268" w:type="dxa"/>
          </w:tcPr>
          <w:p w:rsidR="0054066C" w:rsidRPr="00AF7630" w:rsidRDefault="0054066C" w:rsidP="000A69D7">
            <w:pPr>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Techcombank</w:t>
            </w:r>
          </w:p>
        </w:tc>
        <w:tc>
          <w:tcPr>
            <w:tcW w:w="4677" w:type="dxa"/>
          </w:tcPr>
          <w:p w:rsidR="0054066C" w:rsidRPr="00AF7630" w:rsidRDefault="0054066C" w:rsidP="000A69D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Các khoản cam kết ngoại bảng không phải thực hiện trích lập dự phòng theo quy định tại Nghị định.</w:t>
            </w:r>
          </w:p>
          <w:p w:rsidR="0054066C" w:rsidRPr="00AF7630" w:rsidRDefault="0054066C" w:rsidP="000A69D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Khi đã trở thành “khoản trả thay theo cam kết ngoại bảng” thì sẽ thuộc phạm vi điều chỉnh của Nghị định và thực hiện trích lập dự phòng rủi ro theo quy định tại Nghị định này.</w:t>
            </w: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xuất điều chỉnh diễn giải như sau:</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…số tiền tổ chức tín dụng, chi nhánh ngân hàng nước ngoài đã giải ngân theo </w:t>
            </w:r>
            <w:r w:rsidRPr="00AF7630">
              <w:rPr>
                <w:rFonts w:ascii="Times New Roman" w:eastAsia="Times New Roman" w:hAnsi="Times New Roman" w:cs="Times New Roman"/>
                <w:i/>
                <w:iCs/>
                <w:sz w:val="24"/>
                <w:szCs w:val="24"/>
              </w:rPr>
              <w:t>thỏa thuận</w:t>
            </w:r>
            <w:r w:rsidRPr="00AF7630">
              <w:rPr>
                <w:rFonts w:ascii="Times New Roman" w:eastAsia="Times New Roman" w:hAnsi="Times New Roman" w:cs="Times New Roman"/>
                <w:sz w:val="24"/>
                <w:szCs w:val="24"/>
              </w:rPr>
              <w:t> (đối với trường hợp nhiều lần giải ngân nhưng có </w:t>
            </w:r>
            <w:r w:rsidRPr="00AF7630">
              <w:rPr>
                <w:rFonts w:ascii="Times New Roman" w:eastAsia="Times New Roman" w:hAnsi="Times New Roman" w:cs="Times New Roman"/>
                <w:i/>
                <w:iCs/>
                <w:strike/>
                <w:sz w:val="24"/>
                <w:szCs w:val="24"/>
              </w:rPr>
              <w:t>thời điểm cuối cùng của thời hạn và</w:t>
            </w:r>
            <w:r w:rsidRPr="00AF7630">
              <w:rPr>
                <w:rFonts w:ascii="Times New Roman" w:eastAsia="Times New Roman" w:hAnsi="Times New Roman" w:cs="Times New Roman"/>
                <w:i/>
                <w:iCs/>
                <w:sz w:val="24"/>
                <w:szCs w:val="24"/>
              </w:rPr>
              <w:t> kỳ hạn, </w:t>
            </w:r>
            <w:r w:rsidRPr="00AF7630">
              <w:rPr>
                <w:rFonts w:ascii="Times New Roman" w:eastAsia="Times New Roman" w:hAnsi="Times New Roman" w:cs="Times New Roman"/>
                <w:b/>
                <w:bCs/>
                <w:i/>
                <w:iCs/>
                <w:sz w:val="24"/>
                <w:szCs w:val="24"/>
              </w:rPr>
              <w:t>thời hạn</w:t>
            </w:r>
            <w:r w:rsidRPr="00AF7630">
              <w:rPr>
                <w:rFonts w:ascii="Times New Roman" w:eastAsia="Times New Roman" w:hAnsi="Times New Roman" w:cs="Times New Roman"/>
                <w:i/>
                <w:iCs/>
                <w:sz w:val="24"/>
                <w:szCs w:val="24"/>
              </w:rPr>
              <w:t> trả nợ </w:t>
            </w:r>
            <w:r w:rsidRPr="00AF7630">
              <w:rPr>
                <w:rFonts w:ascii="Times New Roman" w:eastAsia="Times New Roman" w:hAnsi="Times New Roman" w:cs="Times New Roman"/>
                <w:b/>
                <w:bCs/>
                <w:i/>
                <w:iCs/>
                <w:sz w:val="24"/>
                <w:szCs w:val="24"/>
              </w:rPr>
              <w:t>cuối cùng</w:t>
            </w:r>
            <w:r w:rsidRPr="00AF7630">
              <w:rPr>
                <w:rFonts w:ascii="Times New Roman" w:eastAsia="Times New Roman" w:hAnsi="Times New Roman" w:cs="Times New Roman"/>
                <w:i/>
                <w:iCs/>
                <w:sz w:val="24"/>
                <w:szCs w:val="24"/>
              </w:rPr>
              <w:t> giống nhau</w:t>
            </w:r>
            <w:r w:rsidRPr="00AF7630">
              <w:rPr>
                <w:rFonts w:ascii="Times New Roman" w:eastAsia="Times New Roman" w:hAnsi="Times New Roman" w:cs="Times New Roman"/>
                <w:sz w:val="24"/>
                <w:szCs w:val="24"/>
              </w:rPr>
              <w:t>) đối với nợ </w:t>
            </w:r>
            <w:r w:rsidRPr="00AF7630">
              <w:rPr>
                <w:rFonts w:ascii="Times New Roman" w:eastAsia="Times New Roman" w:hAnsi="Times New Roman" w:cs="Times New Roman"/>
                <w:i/>
                <w:iCs/>
                <w:sz w:val="24"/>
                <w:szCs w:val="24"/>
              </w:rPr>
              <w:t>của một khách hàng</w:t>
            </w:r>
            <w:r w:rsidRPr="00AF7630">
              <w:rPr>
                <w:rFonts w:ascii="Times New Roman" w:eastAsia="Times New Roman" w:hAnsi="Times New Roman" w:cs="Times New Roman"/>
                <w:sz w:val="24"/>
                <w:szCs w:val="24"/>
              </w:rPr>
              <w:t> mà khách hàng </w:t>
            </w:r>
            <w:r w:rsidRPr="00AF7630">
              <w:rPr>
                <w:rFonts w:ascii="Times New Roman" w:eastAsia="Times New Roman" w:hAnsi="Times New Roman" w:cs="Times New Roman"/>
                <w:i/>
                <w:iCs/>
                <w:sz w:val="24"/>
                <w:szCs w:val="24"/>
              </w:rPr>
              <w:t>đó</w:t>
            </w:r>
            <w:r w:rsidRPr="00AF7630">
              <w:rPr>
                <w:rFonts w:ascii="Times New Roman" w:eastAsia="Times New Roman" w:hAnsi="Times New Roman" w:cs="Times New Roman"/>
                <w:sz w:val="24"/>
                <w:szCs w:val="24"/>
              </w:rPr>
              <w:t> chưa hoàn trả.</w:t>
            </w:r>
          </w:p>
        </w:tc>
        <w:tc>
          <w:tcPr>
            <w:tcW w:w="2268" w:type="dxa"/>
          </w:tcPr>
          <w:p w:rsidR="0054066C" w:rsidRPr="00AF7630" w:rsidRDefault="0054066C" w:rsidP="0001557F">
            <w:pPr>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tại dự thảo Nghị định đã phù hợp.</w:t>
            </w: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pStyle w:val="ListParagraph"/>
              <w:ind w:left="0"/>
              <w:contextualSpacing w:val="0"/>
              <w:jc w:val="both"/>
              <w:rPr>
                <w:rFonts w:ascii="Times New Roman" w:hAnsi="Times New Roman" w:cs="Times New Roman"/>
                <w:sz w:val="24"/>
                <w:szCs w:val="24"/>
              </w:rPr>
            </w:pPr>
            <w:r w:rsidRPr="00AF7630">
              <w:rPr>
                <w:rFonts w:ascii="Times New Roman" w:hAnsi="Times New Roman" w:cs="Times New Roman"/>
                <w:sz w:val="24"/>
                <w:szCs w:val="24"/>
              </w:rPr>
              <w:t>Trường hợp các đợt giải ngân từng lần là độc lập nhưng vô tình có thời hạn, kỳ hạn trả nợ giống nhau (do giải ngân cùng ngày và có nguyên tắc phân thời hạn, kỳ hạn trả nợ vô tình giống nhau) hoặc trường hợp các đợt giải ngân nhiều lần có thời điểm cuối cùng của thời hạn giống nhau và kỳ hạn trả nợ chung nhưng do ưu tiên phân bổ theo nguyên tắc kỳ hạn trả nợ đến trước sẽ phân bổ vào đợt giải ngân trước, kỳ hạn đến sau sẽ phân bổ vào đợt giải ngân sau nên vô tình làm kế hoạch trả nợ sau khi phân bổ đối với từng đợt giải ngân sẽ khác nhau thì khi áp dụng nguyên tắc nêu tại Dự thảo Nghị định sẽ không phù hợp</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 xml:space="preserve">SAIGONBANK kính đề xuất Đơn vị soạn thảo xem xét sửa đổi, bổ sung thêm câu từ để rõ ràng hơn như sau: “Khoản nợ là số tiền tổ chức tín dụng, chi nhánh ngân hàng </w:t>
            </w:r>
            <w:r w:rsidRPr="00AF7630">
              <w:rPr>
                <w:rFonts w:ascii="Times New Roman" w:hAnsi="Times New Roman" w:cs="Times New Roman"/>
                <w:sz w:val="24"/>
                <w:szCs w:val="24"/>
              </w:rPr>
              <w:lastRenderedPageBreak/>
              <w:t xml:space="preserve">nước ngoài đã gửi, thanh toán, giải ngân từng lần (đối với trường hợp mỗi lần giải ngân có thời hạn, kỳ hạn trả nợ là </w:t>
            </w:r>
            <w:r w:rsidRPr="00AF7630">
              <w:rPr>
                <w:rFonts w:ascii="Times New Roman" w:hAnsi="Times New Roman" w:cs="Times New Roman"/>
                <w:i/>
                <w:iCs/>
                <w:sz w:val="24"/>
                <w:szCs w:val="24"/>
              </w:rPr>
              <w:t>độc lập, khác nhau, phụ thuộc vào mục đích và khả năng trả nợ đối với từng lần giải ngân</w:t>
            </w:r>
            <w:r w:rsidRPr="00AF7630">
              <w:rPr>
                <w:rFonts w:ascii="Times New Roman" w:hAnsi="Times New Roman" w:cs="Times New Roman"/>
                <w:sz w:val="24"/>
                <w:szCs w:val="24"/>
              </w:rPr>
              <w:t xml:space="preserve">) hoặc số tiền tổ chức tín dụng, chi nhánh ngân hàng nước ngoài đã giải ngân theo thỏa thuận (đối với nhiều lần giải ngân nhưng có thời điểm cuối cùng của thời hạn và kỳ hạn trả nợ giống nhau, </w:t>
            </w:r>
            <w:r w:rsidRPr="00AF7630">
              <w:rPr>
                <w:rFonts w:ascii="Times New Roman" w:hAnsi="Times New Roman" w:cs="Times New Roman"/>
                <w:i/>
                <w:iCs/>
                <w:sz w:val="24"/>
                <w:szCs w:val="24"/>
              </w:rPr>
              <w:t xml:space="preserve">có chung nguồn trả nợ và được xác lập kế hoạch trả nợ chung) </w:t>
            </w:r>
            <w:r w:rsidRPr="00AF7630">
              <w:rPr>
                <w:rFonts w:ascii="Times New Roman" w:hAnsi="Times New Roman" w:cs="Times New Roman"/>
                <w:sz w:val="24"/>
                <w:szCs w:val="24"/>
              </w:rPr>
              <w:t>đối với nợ của một khách hàng mà khách hàng đó chưa trả.</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lastRenderedPageBreak/>
              <w:t>SAIGONBANK</w:t>
            </w:r>
          </w:p>
        </w:tc>
        <w:tc>
          <w:tcPr>
            <w:tcW w:w="4677" w:type="dxa"/>
            <w:vMerge w:val="restart"/>
          </w:tcPr>
          <w:p w:rsidR="0054066C" w:rsidRPr="00AF7630" w:rsidRDefault="0054066C"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Khái niệm “khoản nợ” phải xuất phát từ 01 Hợp đồng hoặc thỏa thuận bằng văn bản giữa TCTD và khách hàng.</w:t>
            </w: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Kính đề xuất NHNN hướng dẫn rõ thêm:</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1. Tổ chức tín dụng có được phép thỏa thuận mỗi lần giải ngân có thời điểm cuối cùng của thời hạn và kỳ hạn trả nợ giống nhau đối với nợ của một khách hàng mà khách hàng đó chưa hoàn trả là 01 (một) khoản nợ không?</w:t>
            </w:r>
          </w:p>
          <w:p w:rsidR="0054066C" w:rsidRPr="00AF7630" w:rsidRDefault="0054066C" w:rsidP="0001557F">
            <w:pPr>
              <w:pStyle w:val="ListParagraph"/>
              <w:ind w:left="0"/>
              <w:contextualSpacing w:val="0"/>
              <w:jc w:val="both"/>
              <w:rPr>
                <w:rFonts w:ascii="Times New Roman" w:hAnsi="Times New Roman" w:cs="Times New Roman"/>
                <w:sz w:val="24"/>
                <w:szCs w:val="24"/>
              </w:rPr>
            </w:pPr>
            <w:r w:rsidRPr="00AF7630">
              <w:rPr>
                <w:rFonts w:ascii="Times New Roman" w:eastAsia="Times New Roman" w:hAnsi="Times New Roman" w:cs="Times New Roman"/>
                <w:sz w:val="24"/>
                <w:szCs w:val="24"/>
              </w:rPr>
              <w:t>2. 01 (một) Thỏa thuận hạn mức tín dụng sử dụng cho nhiều loại thẻ (Thẻ Visa, Thẻ JCB…), dư nợ các thẻ này có thời điểm cuối cùng của thời hạn và kỳ hạn trả nợ giống nhau có được hiểu là 01 (một) khoản nợ không?</w:t>
            </w:r>
          </w:p>
        </w:tc>
        <w:tc>
          <w:tcPr>
            <w:tcW w:w="2268" w:type="dxa"/>
          </w:tcPr>
          <w:p w:rsidR="0054066C" w:rsidRPr="00AF7630" w:rsidRDefault="0054066C" w:rsidP="0001557F">
            <w:pPr>
              <w:jc w:val="both"/>
              <w:rPr>
                <w:rFonts w:ascii="Times New Roman" w:hAnsi="Times New Roman" w:cs="Times New Roman"/>
                <w:sz w:val="24"/>
                <w:szCs w:val="24"/>
              </w:rPr>
            </w:pPr>
            <w:r w:rsidRPr="00AF7630">
              <w:rPr>
                <w:rFonts w:ascii="Times New Roman" w:eastAsia="Times New Roman" w:hAnsi="Times New Roman" w:cs="Times New Roman"/>
                <w:sz w:val="24"/>
                <w:szCs w:val="24"/>
              </w:rPr>
              <w:t>Sacombank</w:t>
            </w:r>
          </w:p>
        </w:tc>
        <w:tc>
          <w:tcPr>
            <w:tcW w:w="4677" w:type="dxa"/>
            <w:vMerge/>
          </w:tcPr>
          <w:p w:rsidR="0054066C" w:rsidRPr="00AF7630" w:rsidRDefault="0054066C" w:rsidP="0001557F">
            <w:pPr>
              <w:jc w:val="both"/>
              <w:rPr>
                <w:rFonts w:ascii="Times New Roman" w:eastAsia="Times New Roman" w:hAnsi="Times New Roman" w:cs="Times New Roman"/>
                <w:b/>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jc w:val="both"/>
              <w:rPr>
                <w:rFonts w:ascii="Times New Roman" w:hAnsi="Times New Roman" w:cs="Times New Roman"/>
                <w:sz w:val="24"/>
                <w:szCs w:val="24"/>
              </w:rPr>
            </w:pPr>
            <w:r w:rsidRPr="00AF7630">
              <w:rPr>
                <w:rFonts w:ascii="Times New Roman" w:hAnsi="Times New Roman" w:cs="Times New Roman"/>
                <w:sz w:val="24"/>
                <w:szCs w:val="24"/>
              </w:rPr>
              <w:t>Đề nghị sửa nội dung khoản 2 như sau: Khoản nợ là số tiền tổ chức tín dụng, chi nhánh ngân hàng nước ngoài đã gửi, thanh toán, giải ngân từng lần (đối với trường hợp mỗi giải ngân có thời điểm cuối cùng của thời hạn, kỳ hạn trả nợ khác nhau) hoặc số tiền hoặc số tiền tổ chức tín dụng, chi nhánh ngân hàng nước ngoài đã giải ngân theo thỏa thuận (đối với trường hợp nhiều lần giải ngân nhưng có thời điểm cuối cùng của thời hạn và kỳ hạn trả nợ giống nhau) đối với nợ của một khách hàng mà khách hàng đó chưa hoàn trả.</w:t>
            </w:r>
          </w:p>
          <w:p w:rsidR="0054066C" w:rsidRPr="00AF7630" w:rsidRDefault="0054066C" w:rsidP="0001557F">
            <w:pPr>
              <w:jc w:val="both"/>
              <w:rPr>
                <w:rFonts w:ascii="Times New Roman" w:hAnsi="Times New Roman" w:cs="Times New Roman"/>
                <w:sz w:val="24"/>
                <w:szCs w:val="24"/>
              </w:rPr>
            </w:pPr>
            <w:r w:rsidRPr="00AF7630">
              <w:rPr>
                <w:rFonts w:ascii="Times New Roman" w:hAnsi="Times New Roman" w:cs="Times New Roman"/>
                <w:sz w:val="24"/>
                <w:szCs w:val="24"/>
              </w:rPr>
              <w:t>Lý do: Để thống nhất cách sử dụng từ "thời điểm cuối cùng của thời hạn"</w:t>
            </w:r>
          </w:p>
        </w:tc>
        <w:tc>
          <w:tcPr>
            <w:tcW w:w="2268" w:type="dxa"/>
          </w:tcPr>
          <w:p w:rsidR="0054066C" w:rsidRPr="00AF7630" w:rsidRDefault="0054066C" w:rsidP="0001557F">
            <w:pPr>
              <w:jc w:val="both"/>
              <w:rPr>
                <w:rFonts w:ascii="Times New Roman" w:hAnsi="Times New Roman" w:cs="Times New Roman"/>
                <w:color w:val="000000"/>
                <w:sz w:val="24"/>
                <w:szCs w:val="24"/>
              </w:rPr>
            </w:pPr>
            <w:r w:rsidRPr="00AF7630">
              <w:rPr>
                <w:rFonts w:ascii="Times New Roman" w:hAnsi="Times New Roman" w:cs="Times New Roman"/>
                <w:sz w:val="24"/>
                <w:szCs w:val="24"/>
              </w:rPr>
              <w:t>Agribank</w:t>
            </w:r>
          </w:p>
        </w:tc>
        <w:tc>
          <w:tcPr>
            <w:tcW w:w="4677"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khoản 2 Điều 3 dự thảo Nghị định như sau: </w:t>
            </w:r>
            <w:r w:rsidRPr="00AF7630">
              <w:rPr>
                <w:rFonts w:ascii="Times New Roman" w:eastAsia="Times New Roman" w:hAnsi="Times New Roman" w:cs="Times New Roman"/>
                <w:i/>
                <w:sz w:val="24"/>
                <w:szCs w:val="24"/>
              </w:rPr>
              <w:t>“2. Khoản nợ là số tiền tổ chức tín dụng, chi nhánh ngân hàng nước ngoài đã gửi, thanh toán, giải ngân từng lần (</w:t>
            </w:r>
            <w:r w:rsidRPr="00AF7630">
              <w:rPr>
                <w:rFonts w:ascii="Times New Roman" w:eastAsia="Times New Roman" w:hAnsi="Times New Roman" w:cs="Times New Roman"/>
                <w:i/>
                <w:sz w:val="24"/>
                <w:szCs w:val="24"/>
                <w:u w:val="single"/>
              </w:rPr>
              <w:t>đối với trường hợp mỗi lần giải ngân có thời điểm cuối cùng của thời hạn, kỳ hạn trả nợ khác nhau</w:t>
            </w:r>
            <w:r w:rsidRPr="00AF7630">
              <w:rPr>
                <w:rFonts w:ascii="Times New Roman" w:eastAsia="Times New Roman" w:hAnsi="Times New Roman" w:cs="Times New Roman"/>
                <w:i/>
                <w:sz w:val="24"/>
                <w:szCs w:val="24"/>
              </w:rPr>
              <w:t>) hoặc số tiền tổ chức tín dụng, chi nhánh ngân hàng nước ngoài đã giải ngân theo thỏa thuận (</w:t>
            </w:r>
            <w:r w:rsidRPr="00AF7630">
              <w:rPr>
                <w:rFonts w:ascii="Times New Roman" w:eastAsia="Times New Roman" w:hAnsi="Times New Roman" w:cs="Times New Roman"/>
                <w:i/>
                <w:sz w:val="24"/>
                <w:szCs w:val="24"/>
                <w:u w:val="single"/>
              </w:rPr>
              <w:t>đối với trường hợp nhiều lần giải ngân nhưng có thời điểm cuối cùng của thời hạn và kỳ hạn trả nợ giống nhau</w:t>
            </w:r>
            <w:r w:rsidRPr="00AF7630">
              <w:rPr>
                <w:rFonts w:ascii="Times New Roman" w:eastAsia="Times New Roman" w:hAnsi="Times New Roman" w:cs="Times New Roman"/>
                <w:i/>
                <w:sz w:val="24"/>
                <w:szCs w:val="24"/>
              </w:rPr>
              <w:t>) đối với nợ của một khách hàng mà khách hàng đó chưa hoàn trả hoặc số tiền bán nợ tổ chức tín dụng, chi nhánh ngân hàng nước ngoài chưa thu được từ khách hàng.”</w:t>
            </w:r>
          </w:p>
        </w:tc>
      </w:tr>
      <w:tr w:rsidR="0054066C" w:rsidRPr="00AF7630" w:rsidTr="0069372A">
        <w:tc>
          <w:tcPr>
            <w:tcW w:w="2978" w:type="dxa"/>
            <w:vMerge w:val="restart"/>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3 Điều 3 DTNĐ:</w:t>
            </w:r>
          </w:p>
          <w:p w:rsidR="0054066C" w:rsidRPr="00AF7630" w:rsidRDefault="0054066C"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3. Dự phòng rủi ro là số tiền được trích lập để dự </w:t>
            </w:r>
            <w:r w:rsidRPr="00AF7630">
              <w:rPr>
                <w:rFonts w:ascii="Times New Roman" w:eastAsia="Times New Roman" w:hAnsi="Times New Roman" w:cs="Times New Roman"/>
                <w:i/>
                <w:sz w:val="24"/>
                <w:szCs w:val="24"/>
                <w:lang w:val="vi-VN"/>
              </w:rPr>
              <w:lastRenderedPageBreak/>
              <w:t>phòng cho những rủi ro có thể xảy ra đối với nợ của tổ chức tín dụng, chi nhánh ngân hàng nước ngoài. Dự phòng rủi ro gồm dự phòng cụ thể và dự phòng chung.</w:t>
            </w:r>
            <w:r w:rsidRPr="00AF7630">
              <w:rPr>
                <w:rFonts w:ascii="Times New Roman" w:eastAsia="Times New Roman" w:hAnsi="Times New Roman" w:cs="Times New Roman"/>
                <w:i/>
                <w:sz w:val="24"/>
                <w:szCs w:val="24"/>
              </w:rPr>
              <w:t>”</w:t>
            </w: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Giữ nguyên theo quy định tại Thông tư 11/2021 để rõ ràng và cụ thể hơn.</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 TMCP Bắc Á</w:t>
            </w:r>
          </w:p>
        </w:tc>
        <w:tc>
          <w:tcPr>
            <w:tcW w:w="4677" w:type="dxa"/>
            <w:vMerge w:val="restart"/>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Nội dung khoản 3 Điều 3 dự thảo Nghị định quy định trên cơ sở kế thừa quy định tại khoản 3 Điều 3 Thông tư 11 và có chỉnh sửa </w:t>
            </w:r>
            <w:r w:rsidRPr="00AF7630">
              <w:rPr>
                <w:rFonts w:ascii="Times New Roman" w:eastAsia="Times New Roman" w:hAnsi="Times New Roman" w:cs="Times New Roman"/>
                <w:sz w:val="24"/>
                <w:szCs w:val="24"/>
              </w:rPr>
              <w:lastRenderedPageBreak/>
              <w:t xml:space="preserve">theo hướng bỏ cụm từ </w:t>
            </w:r>
            <w:r w:rsidRPr="00AF7630">
              <w:rPr>
                <w:rFonts w:ascii="Times New Roman" w:eastAsia="Times New Roman" w:hAnsi="Times New Roman" w:cs="Times New Roman"/>
                <w:i/>
                <w:sz w:val="24"/>
                <w:szCs w:val="24"/>
              </w:rPr>
              <w:t>“và hạch toán vào chi phí hoạt động”</w:t>
            </w:r>
            <w:r w:rsidRPr="00AF7630">
              <w:rPr>
                <w:rFonts w:ascii="Times New Roman" w:eastAsia="Times New Roman" w:hAnsi="Times New Roman" w:cs="Times New Roman"/>
                <w:sz w:val="24"/>
                <w:szCs w:val="24"/>
              </w:rPr>
              <w:t xml:space="preserve"> do:</w:t>
            </w:r>
          </w:p>
          <w:p w:rsidR="0054066C" w:rsidRPr="00AF7630" w:rsidRDefault="0054066C"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 Khoản 1 Điều 147 Luật các TCTD quy định: </w:t>
            </w:r>
            <w:r w:rsidRPr="00AF7630">
              <w:rPr>
                <w:rFonts w:ascii="Times New Roman" w:eastAsia="Times New Roman" w:hAnsi="Times New Roman" w:cs="Times New Roman"/>
                <w:i/>
                <w:sz w:val="24"/>
                <w:szCs w:val="24"/>
              </w:rPr>
              <w:t>“1. Tổ chức tín dụng, chi nhánh ngân hàng nước ngoài phải dự phòng rủi ro trong hoạt động của tổ chức tín dụng, chi nhánh ngân hàng nước ngoài. Khoản dự phòng rủi ro này được hạch toán vào chi phí hoạt động.”.</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Khoản 3 Điều 3 dự thảo Nghị định quy định về giải thích từ ngữ “Dự phòng rủi ro”, không quy định về việc hạch toán kế toán. Việc hạch toán đối với số tiền được trích lập để dự phòng rủi ro thực hiện theo quy định tại Luật Các TCTD 2024 (khoản 1 Điều 147) và quy định của pháp luật về kế toán.</w:t>
            </w: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jc w:val="both"/>
              <w:rPr>
                <w:rFonts w:ascii="Times New Roman" w:hAnsi="Times New Roman" w:cs="Times New Roman"/>
                <w:color w:val="000000"/>
                <w:sz w:val="24"/>
                <w:szCs w:val="24"/>
              </w:rPr>
            </w:pPr>
            <w:r w:rsidRPr="00AF7630">
              <w:rPr>
                <w:rFonts w:ascii="Times New Roman" w:hAnsi="Times New Roman" w:cs="Times New Roman"/>
                <w:color w:val="000000"/>
                <w:sz w:val="24"/>
                <w:szCs w:val="24"/>
              </w:rPr>
              <w:t xml:space="preserve">Đề nghị bổ sung thêm nội dung: </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hAnsi="Times New Roman" w:cs="Times New Roman"/>
                <w:color w:val="000000"/>
                <w:sz w:val="24"/>
                <w:szCs w:val="24"/>
              </w:rPr>
              <w:lastRenderedPageBreak/>
              <w:t>Khoản dự phòng rủi ro này được hạch toán vào chi phí hoạt động để phù hợp với Khoản 3 Thông tư 11 và quy định tại Khoản 1 Điều 147 Luật các TCTD 2024: “1. Tổ chức tín dụng, chi nhánh ngân hàng nước ngoài phải dự phòng rủi ro trong hoạt động của tổ chức tín dụng, chi nhánh ngân hàng nước ngoài. Khoản dự phòng rủi ro này được hạch toán vào chi phí hoạt động.”</w:t>
            </w:r>
          </w:p>
        </w:tc>
        <w:tc>
          <w:tcPr>
            <w:tcW w:w="2268"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hAnsi="Times New Roman" w:cs="Times New Roman"/>
                <w:color w:val="000000"/>
                <w:sz w:val="24"/>
                <w:szCs w:val="24"/>
              </w:rPr>
              <w:lastRenderedPageBreak/>
              <w:t>PVcomBank</w:t>
            </w:r>
          </w:p>
        </w:tc>
        <w:tc>
          <w:tcPr>
            <w:tcW w:w="4677" w:type="dxa"/>
            <w:vMerge/>
          </w:tcPr>
          <w:p w:rsidR="0054066C" w:rsidRPr="00AF7630" w:rsidRDefault="0054066C" w:rsidP="0001557F">
            <w:pPr>
              <w:jc w:val="both"/>
              <w:rPr>
                <w:rFonts w:ascii="Times New Roman" w:eastAsia="Times New Roman" w:hAnsi="Times New Roman" w:cs="Times New Roman"/>
                <w:b/>
                <w:sz w:val="24"/>
                <w:szCs w:val="24"/>
              </w:rPr>
            </w:pPr>
          </w:p>
        </w:tc>
      </w:tr>
      <w:tr w:rsidR="0054066C" w:rsidRPr="00AF7630" w:rsidTr="0069372A">
        <w:tc>
          <w:tcPr>
            <w:tcW w:w="297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7 Điều 3 DTNĐ:</w:t>
            </w:r>
          </w:p>
          <w:p w:rsidR="0054066C" w:rsidRPr="00AF7630" w:rsidRDefault="0054066C"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“7</w:t>
            </w:r>
            <w:r w:rsidRPr="00AF7630">
              <w:rPr>
                <w:rFonts w:ascii="Times New Roman" w:eastAsia="Times New Roman" w:hAnsi="Times New Roman" w:cs="Times New Roman"/>
                <w:i/>
                <w:sz w:val="24"/>
                <w:szCs w:val="24"/>
                <w:lang w:val="vi-VN"/>
              </w:rPr>
              <w:t xml:space="preserve">. Sử dụng dự phòng </w:t>
            </w:r>
            <w:r w:rsidRPr="00AF7630">
              <w:rPr>
                <w:rFonts w:ascii="Times New Roman" w:eastAsia="Times New Roman" w:hAnsi="Times New Roman" w:cs="Times New Roman"/>
                <w:i/>
                <w:sz w:val="24"/>
                <w:szCs w:val="24"/>
              </w:rPr>
              <w:t>rủi ro bao gồm sử dụng dự phòng đ</w:t>
            </w:r>
            <w:r w:rsidRPr="00AF7630">
              <w:rPr>
                <w:rFonts w:ascii="Times New Roman" w:eastAsia="Times New Roman" w:hAnsi="Times New Roman" w:cs="Times New Roman"/>
                <w:i/>
                <w:sz w:val="24"/>
                <w:szCs w:val="24"/>
                <w:lang w:val="vi-VN"/>
              </w:rPr>
              <w:t>ể xử lý rủi ro</w:t>
            </w:r>
            <w:r w:rsidRPr="00AF7630">
              <w:rPr>
                <w:rFonts w:ascii="Times New Roman" w:eastAsia="Times New Roman" w:hAnsi="Times New Roman" w:cs="Times New Roman"/>
                <w:i/>
                <w:sz w:val="24"/>
                <w:szCs w:val="24"/>
              </w:rPr>
              <w:t xml:space="preserve"> và sử dụng dự phòng để xử lý tổn thất về tài sản đối với khoản nợ, cụ thể:</w:t>
            </w:r>
          </w:p>
          <w:p w:rsidR="0054066C" w:rsidRPr="00AF7630" w:rsidRDefault="0054066C"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a) Sử dụng dự phòng đ</w:t>
            </w:r>
            <w:r w:rsidRPr="00AF7630">
              <w:rPr>
                <w:rFonts w:ascii="Times New Roman" w:eastAsia="Times New Roman" w:hAnsi="Times New Roman" w:cs="Times New Roman"/>
                <w:i/>
                <w:sz w:val="24"/>
                <w:szCs w:val="24"/>
                <w:lang w:val="vi-VN"/>
              </w:rPr>
              <w:t>ể xử lý rủi ro là việc tổ chức tín dụng, chi nhánh ngân hàng nước ngoài chuyển khoản nợ được xử lý rủi ro ra hạch toán trên các tài khoản ngoại bảng và tiếp tục theo dõi, có biện pháp để thu hồi nợ đầy đủ theo thỏa thuận đã ký với khách hàng</w:t>
            </w:r>
            <w:r w:rsidRPr="00AF7630">
              <w:rPr>
                <w:rFonts w:ascii="Times New Roman" w:eastAsia="Times New Roman" w:hAnsi="Times New Roman" w:cs="Times New Roman"/>
                <w:i/>
                <w:sz w:val="24"/>
                <w:szCs w:val="24"/>
              </w:rPr>
              <w:t xml:space="preserve"> quy định tại </w:t>
            </w:r>
            <w:bookmarkStart w:id="1" w:name="tc_3"/>
            <w:r w:rsidRPr="00AF7630">
              <w:rPr>
                <w:rFonts w:ascii="Times New Roman" w:eastAsia="Times New Roman" w:hAnsi="Times New Roman" w:cs="Times New Roman"/>
                <w:i/>
                <w:sz w:val="24"/>
                <w:szCs w:val="24"/>
              </w:rPr>
              <w:t>Điều 11 Nghị định này</w:t>
            </w:r>
            <w:bookmarkEnd w:id="1"/>
            <w:r w:rsidRPr="00AF7630">
              <w:rPr>
                <w:rFonts w:ascii="Times New Roman" w:eastAsia="Times New Roman" w:hAnsi="Times New Roman" w:cs="Times New Roman"/>
                <w:i/>
                <w:sz w:val="24"/>
                <w:szCs w:val="24"/>
              </w:rPr>
              <w:t>;</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 xml:space="preserve">b) Sử dụng dự phòng để xử lý tổn thất về tài sản đối với </w:t>
            </w:r>
            <w:r w:rsidRPr="00AF7630">
              <w:rPr>
                <w:rFonts w:ascii="Times New Roman" w:eastAsia="Times New Roman" w:hAnsi="Times New Roman" w:cs="Times New Roman"/>
                <w:i/>
                <w:sz w:val="24"/>
                <w:szCs w:val="24"/>
              </w:rPr>
              <w:lastRenderedPageBreak/>
              <w:t xml:space="preserve">khoản nợ quy định tại </w:t>
            </w:r>
            <w:bookmarkStart w:id="2" w:name="tc_4"/>
            <w:r w:rsidRPr="00AF7630">
              <w:rPr>
                <w:rFonts w:ascii="Times New Roman" w:eastAsia="Times New Roman" w:hAnsi="Times New Roman" w:cs="Times New Roman"/>
                <w:i/>
                <w:sz w:val="24"/>
                <w:szCs w:val="24"/>
              </w:rPr>
              <w:t>Điều 13 Nghị định này</w:t>
            </w:r>
            <w:bookmarkEnd w:id="2"/>
            <w:r w:rsidRPr="00AF7630">
              <w:rPr>
                <w:rFonts w:ascii="Times New Roman" w:eastAsia="Times New Roman" w:hAnsi="Times New Roman" w:cs="Times New Roman"/>
                <w:i/>
                <w:sz w:val="24"/>
                <w:szCs w:val="24"/>
              </w:rPr>
              <w:t>.”</w:t>
            </w: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 xml:space="preserve">Điểm a , b khoản 7 Điều 3 đề nghị sửa đổi: </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a) Sử dụng dự phòng…..quy định tại Điều </w:t>
            </w:r>
            <w:r w:rsidRPr="00AF7630">
              <w:rPr>
                <w:rFonts w:ascii="Times New Roman" w:eastAsia="Times New Roman" w:hAnsi="Times New Roman" w:cs="Times New Roman"/>
                <w:b/>
                <w:sz w:val="24"/>
                <w:szCs w:val="24"/>
              </w:rPr>
              <w:t>10</w:t>
            </w:r>
            <w:r w:rsidRPr="00AF7630">
              <w:rPr>
                <w:rFonts w:ascii="Times New Roman" w:eastAsia="Times New Roman" w:hAnsi="Times New Roman" w:cs="Times New Roman"/>
                <w:sz w:val="24"/>
                <w:szCs w:val="24"/>
              </w:rPr>
              <w:t xml:space="preserve"> Nghị định này;</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b) Sử dụng dự phòng ……quy định tại Điều </w:t>
            </w:r>
            <w:r w:rsidRPr="00AF7630">
              <w:rPr>
                <w:rFonts w:ascii="Times New Roman" w:eastAsia="Times New Roman" w:hAnsi="Times New Roman" w:cs="Times New Roman"/>
                <w:b/>
                <w:sz w:val="24"/>
                <w:szCs w:val="24"/>
              </w:rPr>
              <w:t>12</w:t>
            </w:r>
            <w:r w:rsidRPr="00AF7630">
              <w:rPr>
                <w:rFonts w:ascii="Times New Roman" w:eastAsia="Times New Roman" w:hAnsi="Times New Roman" w:cs="Times New Roman"/>
                <w:sz w:val="24"/>
                <w:szCs w:val="24"/>
              </w:rPr>
              <w:t xml:space="preserve"> Nghị định này.</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NHHTX, Sacombank, Agribank</w:t>
            </w:r>
          </w:p>
        </w:tc>
        <w:tc>
          <w:tcPr>
            <w:tcW w:w="4677" w:type="dxa"/>
          </w:tcPr>
          <w:p w:rsidR="0054066C" w:rsidRPr="00AF7630" w:rsidRDefault="0054066C"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trích dẫn tại dự thảo Nghị định.</w:t>
            </w:r>
          </w:p>
        </w:tc>
      </w:tr>
      <w:tr w:rsidR="0054066C" w:rsidRPr="00AF7630" w:rsidTr="0069372A">
        <w:tc>
          <w:tcPr>
            <w:tcW w:w="297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8 Điều 3 DTNĐ</w:t>
            </w:r>
          </w:p>
          <w:p w:rsidR="0054066C" w:rsidRPr="00AF7630" w:rsidRDefault="0054066C"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“Nợ nhóm 1, nhóm 2, nhóm 3, nhóm 4 và nhóm 5 quy định tại Nghị định này là nợ được </w:t>
            </w:r>
            <w:r w:rsidRPr="00AF7630">
              <w:rPr>
                <w:rFonts w:ascii="Times New Roman" w:eastAsia="Times New Roman" w:hAnsi="Times New Roman" w:cs="Times New Roman"/>
                <w:i/>
                <w:sz w:val="24"/>
                <w:szCs w:val="24"/>
                <w:u w:val="single"/>
              </w:rPr>
              <w:t>phân loại theo quy định của Ngân hàng Nhà nước</w:t>
            </w:r>
            <w:r w:rsidRPr="00AF7630">
              <w:rPr>
                <w:rFonts w:ascii="Times New Roman" w:eastAsia="Times New Roman" w:hAnsi="Times New Roman" w:cs="Times New Roman"/>
                <w:i/>
                <w:sz w:val="24"/>
                <w:szCs w:val="24"/>
              </w:rPr>
              <w:t xml:space="preserve"> …”; </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6 Điều 4 DTNĐ nêu TCTD</w:t>
            </w:r>
            <w:r w:rsidRPr="00AF7630">
              <w:rPr>
                <w:rFonts w:ascii="Times New Roman" w:hAnsi="Times New Roman" w:cs="Times New Roman"/>
                <w:i/>
                <w:iCs/>
                <w:spacing w:val="-2"/>
                <w:sz w:val="24"/>
                <w:szCs w:val="24"/>
              </w:rPr>
              <w:t xml:space="preserve"> </w:t>
            </w:r>
            <w:r w:rsidRPr="00AF7630">
              <w:rPr>
                <w:rFonts w:ascii="Times New Roman" w:eastAsia="Times New Roman" w:hAnsi="Times New Roman" w:cs="Times New Roman"/>
                <w:i/>
                <w:sz w:val="24"/>
                <w:szCs w:val="24"/>
              </w:rPr>
              <w:t>"… thực hiện trích lập dự phòng rủi ro theo quy định tại Nghị định này trên cơ sở nhóm nợ được phân loại theo quy định, quyết định của Chính phủ, Thủ tướng Chính phủ."</w:t>
            </w:r>
          </w:p>
        </w:tc>
        <w:tc>
          <w:tcPr>
            <w:tcW w:w="5953"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Việc phân loại nhóm nợ không chỉ có quy định của NHNN mà còn có quy định của Chính phủ, Thủ tướng Chính phủ.</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hAnsi="Times New Roman" w:cs="Times New Roman"/>
                <w:b/>
                <w:spacing w:val="-2"/>
                <w:sz w:val="24"/>
                <w:szCs w:val="24"/>
              </w:rPr>
              <w:t>Đề xuất</w:t>
            </w:r>
            <w:r w:rsidRPr="00AF7630">
              <w:rPr>
                <w:rFonts w:ascii="Times New Roman" w:hAnsi="Times New Roman" w:cs="Times New Roman"/>
                <w:spacing w:val="-2"/>
                <w:sz w:val="24"/>
                <w:szCs w:val="24"/>
              </w:rPr>
              <w:t>: Bổ sung định nghĩa: “</w:t>
            </w:r>
            <w:r w:rsidRPr="00AF7630">
              <w:rPr>
                <w:rFonts w:ascii="Times New Roman" w:hAnsi="Times New Roman" w:cs="Times New Roman"/>
                <w:i/>
                <w:spacing w:val="-2"/>
                <w:sz w:val="24"/>
                <w:szCs w:val="24"/>
              </w:rPr>
              <w:t>… theo quy định của Ngân hàng Nhà nước và cấp có thẩm quyền khác (nếu có)…”</w:t>
            </w:r>
            <w:r w:rsidRPr="00AF7630">
              <w:rPr>
                <w:rFonts w:ascii="Times New Roman" w:hAnsi="Times New Roman" w:cs="Times New Roman"/>
                <w:spacing w:val="-2"/>
                <w:sz w:val="24"/>
                <w:szCs w:val="24"/>
              </w:rPr>
              <w:t xml:space="preserve"> để phù hợp Khoản 6 Điều 4 DTNĐ.</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Ngân hàng TMCP Quân đội </w:t>
            </w:r>
          </w:p>
        </w:tc>
        <w:tc>
          <w:tcPr>
            <w:tcW w:w="4677"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tại Dự thảo Thông tư về phân loại nợ của NHNN đã có quy định đối với trường hợp nợ được phân loại theo quy định, quyết định của Chính phủ, Thủ tướng Chính phủ.</w:t>
            </w:r>
          </w:p>
        </w:tc>
      </w:tr>
      <w:tr w:rsidR="0054066C" w:rsidRPr="00AF7630" w:rsidTr="0069372A">
        <w:tc>
          <w:tcPr>
            <w:tcW w:w="2978" w:type="dxa"/>
            <w:vMerge w:val="restart"/>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9 Điều 3 DTNĐ:</w:t>
            </w:r>
          </w:p>
          <w:p w:rsidR="0054066C" w:rsidRPr="00AF7630" w:rsidRDefault="0054066C"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“9. Nợ xấu (NPL) là nợ xấu nội bảng, gồm nợ thuộc các nhóm 3, 4 và 5 theo khoản 8 Điều này.”</w:t>
            </w: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Điều 195.1 của Luật Tổ chức tín dụng mới: “</w:t>
            </w:r>
            <w:r w:rsidRPr="00AF7630">
              <w:rPr>
                <w:rFonts w:ascii="Times New Roman" w:eastAsia="Times New Roman" w:hAnsi="Times New Roman" w:cs="Times New Roman"/>
                <w:i/>
                <w:iCs/>
                <w:sz w:val="24"/>
                <w:szCs w:val="24"/>
              </w:rPr>
              <w:t> Nợ xấu của tổ chức tín dụng, chi nhánh ngân hàng nước ngoài bao gồm khoản nợ xấu đang hạch toán </w:t>
            </w:r>
            <w:r w:rsidRPr="00AF7630">
              <w:rPr>
                <w:rFonts w:ascii="Times New Roman" w:eastAsia="Times New Roman" w:hAnsi="Times New Roman" w:cs="Times New Roman"/>
                <w:b/>
                <w:bCs/>
                <w:i/>
                <w:iCs/>
                <w:sz w:val="24"/>
                <w:szCs w:val="24"/>
              </w:rPr>
              <w:t>trong bảng cân đối kế toán</w:t>
            </w:r>
            <w:r w:rsidRPr="00AF7630">
              <w:rPr>
                <w:rFonts w:ascii="Times New Roman" w:eastAsia="Times New Roman" w:hAnsi="Times New Roman" w:cs="Times New Roman"/>
                <w:i/>
                <w:iCs/>
                <w:sz w:val="24"/>
                <w:szCs w:val="24"/>
              </w:rPr>
              <w:t> theo quy định của Thống đốc Ngân hàng Nhà nước, khoản nợ xấu </w:t>
            </w:r>
            <w:r w:rsidRPr="00AF7630">
              <w:rPr>
                <w:rFonts w:ascii="Times New Roman" w:eastAsia="Times New Roman" w:hAnsi="Times New Roman" w:cs="Times New Roman"/>
                <w:b/>
                <w:bCs/>
                <w:i/>
                <w:iCs/>
                <w:sz w:val="24"/>
                <w:szCs w:val="24"/>
              </w:rPr>
              <w:t>đã sử dụng dự phòng rủi ro để xử lý nhưng chưa thu hồi được nợ và đang theo dõi ngoài bảng cân đối kế toán”</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Điều 3.9 của dự thảo Nghị định này : “</w:t>
            </w:r>
            <w:r w:rsidRPr="00AF7630">
              <w:rPr>
                <w:rFonts w:ascii="Times New Roman" w:eastAsia="Times New Roman" w:hAnsi="Times New Roman" w:cs="Times New Roman"/>
                <w:i/>
                <w:iCs/>
                <w:sz w:val="24"/>
                <w:szCs w:val="24"/>
              </w:rPr>
              <w:t>Nợ xấu (NPL) </w:t>
            </w:r>
            <w:r w:rsidRPr="00AF7630">
              <w:rPr>
                <w:rFonts w:ascii="Times New Roman" w:eastAsia="Times New Roman" w:hAnsi="Times New Roman" w:cs="Times New Roman"/>
                <w:b/>
                <w:bCs/>
                <w:i/>
                <w:iCs/>
                <w:sz w:val="24"/>
                <w:szCs w:val="24"/>
              </w:rPr>
              <w:t>là nợ xấu nội bảng</w:t>
            </w:r>
            <w:r w:rsidRPr="00AF7630">
              <w:rPr>
                <w:rFonts w:ascii="Times New Roman" w:eastAsia="Times New Roman" w:hAnsi="Times New Roman" w:cs="Times New Roman"/>
                <w:i/>
                <w:iCs/>
                <w:sz w:val="24"/>
                <w:szCs w:val="24"/>
              </w:rPr>
              <w:t>, gồm nợ thuộc các nhóm 3, 4 và 5 theo khoản 8 Điều này”</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Vậy sự liên quan giữa khái niệm nợ xấu theo hai quy định này là như thế nào?</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Ngân hàng ANZ</w:t>
            </w:r>
          </w:p>
        </w:tc>
        <w:tc>
          <w:tcPr>
            <w:tcW w:w="4677" w:type="dxa"/>
            <w:vMerge w:val="restart"/>
          </w:tcPr>
          <w:p w:rsidR="0054066C" w:rsidRPr="00AF7630" w:rsidRDefault="0054066C" w:rsidP="00D61B11">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 Điều 195 Luật Các TCTD 2024 quy định về nợ xấu như sau: </w:t>
            </w:r>
            <w:r w:rsidRPr="00AF7630">
              <w:rPr>
                <w:rFonts w:ascii="Times New Roman" w:eastAsia="Times New Roman" w:hAnsi="Times New Roman" w:cs="Times New Roman"/>
                <w:i/>
                <w:sz w:val="24"/>
                <w:szCs w:val="24"/>
              </w:rPr>
              <w:t>“Nợ xấu được áp dụng các quy định tại Chương này bao gồm:</w:t>
            </w:r>
          </w:p>
          <w:p w:rsidR="0054066C" w:rsidRPr="00AF7630" w:rsidRDefault="0054066C" w:rsidP="00D61B11">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1. Nợ xấu của tổ chức tín dụng, chi nhánh ngân hàng nước ngoài bao gồm khoản nợ xấu đang hạch toán trong bảng cân đối kế toán </w:t>
            </w:r>
            <w:r w:rsidRPr="00AF7630">
              <w:rPr>
                <w:rFonts w:ascii="Times New Roman" w:eastAsia="Times New Roman" w:hAnsi="Times New Roman" w:cs="Times New Roman"/>
                <w:i/>
                <w:sz w:val="24"/>
                <w:szCs w:val="24"/>
                <w:u w:val="single"/>
              </w:rPr>
              <w:t>theo quy định của Thống đốc Ngân hàng Nhà nước</w:t>
            </w:r>
            <w:r w:rsidRPr="00AF7630">
              <w:rPr>
                <w:rFonts w:ascii="Times New Roman" w:eastAsia="Times New Roman" w:hAnsi="Times New Roman" w:cs="Times New Roman"/>
                <w:i/>
                <w:sz w:val="24"/>
                <w:szCs w:val="24"/>
              </w:rPr>
              <w:t>, khoản nợ xấu đã sử dụng dự phòng rủi ro để xử lý nhưng chưa thu hồi được nợ và đang theo dõi ngoài bảng cân đối kế toán;</w:t>
            </w:r>
          </w:p>
          <w:p w:rsidR="0054066C" w:rsidRPr="00AF7630" w:rsidRDefault="0054066C" w:rsidP="00D61B11">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2. Nợ xấu mà tổ chức mua bán, xử lý nợ đã mua của tổ chức tín dụng, chi nhánh ngân hàng nước ngoài nhưng chưa thu hồi được nợ.”</w:t>
            </w:r>
          </w:p>
          <w:p w:rsidR="0054066C" w:rsidRPr="00AF7630" w:rsidRDefault="0054066C" w:rsidP="00B302B7">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 xml:space="preserve">- Trên cơ sở ý kiến của Bộ Công an, để phù hợp về thẩm quyền của Thống đốc NHNN quy định tại Điều 195 Luật các TCTD nêu trên, CQTTGSNH bỏ giải thích từ ngữ về “nợ xấu” tại dự thảo Nghị định và khái niệm nợ xấu sẽ được quy định tại dự thảo Thông tư </w:t>
            </w:r>
            <w:r w:rsidRPr="00AF7630">
              <w:rPr>
                <w:rFonts w:ascii="Times New Roman" w:eastAsia="Times New Roman" w:hAnsi="Times New Roman" w:cs="Times New Roman"/>
                <w:sz w:val="24"/>
                <w:szCs w:val="24"/>
              </w:rPr>
              <w:lastRenderedPageBreak/>
              <w:t>của NHNN quy định về phân loại nợ.</w:t>
            </w:r>
          </w:p>
          <w:p w:rsidR="0054066C" w:rsidRPr="00AF7630" w:rsidRDefault="0054066C" w:rsidP="0001557F">
            <w:pPr>
              <w:jc w:val="both"/>
              <w:rPr>
                <w:rFonts w:ascii="Times New Roman" w:eastAsia="Times New Roman" w:hAnsi="Times New Roman" w:cs="Times New Roman"/>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Nhằm tránh hiểu lầm về định nghĩa “Nợ xấu” quy định ở Nghị định này và quy định tại Điều 195 Luật Các TCTD, VietCredit đề xuất NHNN quy định rõ định nghĩa Nợ xấu trong Nghị định này chỉ áp dụng cho hoạt động trích lập dự phòng rủi ro, việc sử dụng dự phòng để xử lý rủi ro, cụ thể như sau:</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b/>
                <w:bCs/>
                <w:sz w:val="24"/>
                <w:szCs w:val="24"/>
              </w:rPr>
              <w:t>Phương án 1</w:t>
            </w:r>
            <w:r w:rsidRPr="00AF7630">
              <w:rPr>
                <w:rFonts w:ascii="Times New Roman" w:eastAsia="Times New Roman" w:hAnsi="Times New Roman" w:cs="Times New Roman"/>
                <w:sz w:val="24"/>
                <w:szCs w:val="24"/>
              </w:rPr>
              <w:t>: Sửa đổi như sau: “</w:t>
            </w:r>
            <w:r w:rsidRPr="00AF7630">
              <w:rPr>
                <w:rFonts w:ascii="Times New Roman" w:eastAsia="Times New Roman" w:hAnsi="Times New Roman" w:cs="Times New Roman"/>
                <w:i/>
                <w:iCs/>
                <w:sz w:val="24"/>
                <w:szCs w:val="24"/>
              </w:rPr>
              <w:t xml:space="preserve">9. Nợ xấu (NPL) là nợ xấu nội bảng, gồm nợ thuộc các nhóm 3, 4 và 5 theo khoản 8 </w:t>
            </w:r>
            <w:r w:rsidRPr="00AF7630">
              <w:rPr>
                <w:rFonts w:ascii="Times New Roman" w:eastAsia="Times New Roman" w:hAnsi="Times New Roman" w:cs="Times New Roman"/>
                <w:i/>
                <w:iCs/>
                <w:sz w:val="24"/>
                <w:szCs w:val="24"/>
              </w:rPr>
              <w:lastRenderedPageBreak/>
              <w:t>Điều này, chỉ áp dụng cho hoạt động phân loại tài sản có, trích lập dự phòng rủi ro, và việc sử dụng dự phòng để xử lý rủi ro.</w:t>
            </w:r>
            <w:r w:rsidRPr="00AF7630">
              <w:rPr>
                <w:rFonts w:ascii="Times New Roman" w:eastAsia="Times New Roman" w:hAnsi="Times New Roman" w:cs="Times New Roman"/>
                <w:sz w:val="24"/>
                <w:szCs w:val="24"/>
              </w:rPr>
              <w:t>”</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b/>
                <w:bCs/>
                <w:sz w:val="24"/>
                <w:szCs w:val="24"/>
              </w:rPr>
              <w:t>Phương án 2</w:t>
            </w:r>
            <w:r w:rsidRPr="00AF7630">
              <w:rPr>
                <w:rFonts w:ascii="Times New Roman" w:eastAsia="Times New Roman" w:hAnsi="Times New Roman" w:cs="Times New Roman"/>
                <w:sz w:val="24"/>
                <w:szCs w:val="24"/>
              </w:rPr>
              <w:t>:</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Sửa đổi như sau: “</w:t>
            </w:r>
            <w:r w:rsidRPr="00AF7630">
              <w:rPr>
                <w:rFonts w:ascii="Times New Roman" w:eastAsia="Times New Roman" w:hAnsi="Times New Roman" w:cs="Times New Roman"/>
                <w:i/>
                <w:iCs/>
                <w:sz w:val="24"/>
                <w:szCs w:val="24"/>
              </w:rPr>
              <w:t>9. Nợ xấu nội bảng gồm nợ thuộc các nhóm 3, 4 và 5 theo khoản 8 Điều này</w:t>
            </w:r>
            <w:r w:rsidRPr="00AF7630">
              <w:rPr>
                <w:rFonts w:ascii="Times New Roman" w:eastAsia="Times New Roman" w:hAnsi="Times New Roman" w:cs="Times New Roman"/>
                <w:sz w:val="24"/>
                <w:szCs w:val="24"/>
              </w:rPr>
              <w:t>”.</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Sửa đổi thống nhất thuật ngữ “Nợ xấu nội bảng” thay cho “Nợ xấu” trong toàn văn bản.</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VietCredit</w:t>
            </w:r>
          </w:p>
        </w:tc>
        <w:tc>
          <w:tcPr>
            <w:tcW w:w="4677" w:type="dxa"/>
            <w:vMerge/>
          </w:tcPr>
          <w:p w:rsidR="0054066C" w:rsidRPr="00AF7630" w:rsidRDefault="0054066C" w:rsidP="0001557F">
            <w:pPr>
              <w:jc w:val="both"/>
              <w:rPr>
                <w:rFonts w:ascii="Times New Roman" w:eastAsia="Times New Roman" w:hAnsi="Times New Roman" w:cs="Times New Roman"/>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rPr>
              <w:t>Khoản 9 Điều 3 dự thảo Nghị định quy định nợ xấu là nợ xấu nội bảng; tuy nhiên, Điều 195 Luật Các tổ chức tín dụng quy định nợ xấu bao gồm các khoản được theo dõi trong bảng cân đối kế toán và theo dõi ngoài bảng cân đối kế toán. Đề nghị xem xét và chỉnh lý cho phù hợp.</w:t>
            </w:r>
          </w:p>
        </w:tc>
        <w:tc>
          <w:tcPr>
            <w:tcW w:w="2268" w:type="dxa"/>
          </w:tcPr>
          <w:p w:rsidR="0054066C" w:rsidRPr="00AF7630" w:rsidRDefault="0054066C" w:rsidP="0001557F">
            <w:pPr>
              <w:jc w:val="both"/>
              <w:rPr>
                <w:rFonts w:ascii="Times New Roman" w:hAnsi="Times New Roman" w:cs="Times New Roman"/>
                <w:sz w:val="24"/>
                <w:szCs w:val="24"/>
              </w:rPr>
            </w:pPr>
            <w:r w:rsidRPr="00AF7630">
              <w:rPr>
                <w:rFonts w:ascii="Times New Roman" w:hAnsi="Times New Roman" w:cs="Times New Roman"/>
                <w:sz w:val="24"/>
                <w:szCs w:val="24"/>
              </w:rPr>
              <w:t>Bộ Công an</w:t>
            </w:r>
          </w:p>
        </w:tc>
        <w:tc>
          <w:tcPr>
            <w:tcW w:w="4677" w:type="dxa"/>
            <w:vMerge/>
          </w:tcPr>
          <w:p w:rsidR="0054066C" w:rsidRPr="00AF7630" w:rsidDel="00E6060D" w:rsidRDefault="0054066C" w:rsidP="0001557F">
            <w:pPr>
              <w:jc w:val="both"/>
              <w:rPr>
                <w:rFonts w:ascii="Times New Roman" w:eastAsia="Times New Roman" w:hAnsi="Times New Roman" w:cs="Times New Roman"/>
                <w:b/>
                <w:sz w:val="24"/>
                <w:szCs w:val="24"/>
              </w:rPr>
            </w:pPr>
          </w:p>
        </w:tc>
      </w:tr>
      <w:tr w:rsidR="0054066C" w:rsidRPr="00AF7630" w:rsidTr="0069372A">
        <w:tc>
          <w:tcPr>
            <w:tcW w:w="297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1 Điều 4 DTNĐ:</w:t>
            </w:r>
          </w:p>
          <w:p w:rsidR="0054066C" w:rsidRPr="00AF7630" w:rsidRDefault="0054066C" w:rsidP="0001557F">
            <w:pPr>
              <w:pStyle w:val="ListParagraph"/>
              <w:ind w:left="0"/>
              <w:contextualSpacing w:val="0"/>
              <w:jc w:val="both"/>
              <w:rPr>
                <w:rFonts w:ascii="Times New Roman" w:hAnsi="Times New Roman" w:cs="Times New Roman"/>
                <w:i/>
                <w:iCs/>
                <w:sz w:val="24"/>
                <w:szCs w:val="24"/>
              </w:rPr>
            </w:pPr>
            <w:r w:rsidRPr="00AF7630">
              <w:rPr>
                <w:rFonts w:ascii="Times New Roman" w:hAnsi="Times New Roman" w:cs="Times New Roman"/>
                <w:i/>
                <w:iCs/>
                <w:sz w:val="24"/>
                <w:szCs w:val="24"/>
              </w:rPr>
              <w:t>“1. Số tiền dự phòng cụ thể phải trích đối với từng khách hàng của tổ chức tín dụng, chi nhánh ngân hàng nước ngoài được tính theo công thức sau:</w:t>
            </w:r>
          </w:p>
          <w:p w:rsidR="0054066C" w:rsidRPr="00AF7630" w:rsidRDefault="0054066C" w:rsidP="0001557F">
            <w:pPr>
              <w:jc w:val="both"/>
              <w:rPr>
                <w:rFonts w:ascii="Times New Roman" w:hAnsi="Times New Roman" w:cs="Times New Roman"/>
                <w:i/>
                <w:iCs/>
                <w:sz w:val="24"/>
                <w:szCs w:val="24"/>
              </w:rPr>
            </w:pPr>
            <w:r w:rsidRPr="00AF7630">
              <w:rPr>
                <w:rFonts w:ascii="Times New Roman" w:hAnsi="Times New Roman" w:cs="Times New Roman"/>
                <w:i/>
                <w:iCs/>
                <w:noProof/>
                <w:sz w:val="24"/>
                <w:szCs w:val="24"/>
              </w:rPr>
              <w:drawing>
                <wp:inline distT="0" distB="0" distL="0" distR="0" wp14:anchorId="7B34AC6D" wp14:editId="2EC7BDDF">
                  <wp:extent cx="628650"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650" cy="495300"/>
                          </a:xfrm>
                          <a:prstGeom prst="rect">
                            <a:avLst/>
                          </a:prstGeom>
                          <a:noFill/>
                          <a:ln>
                            <a:noFill/>
                          </a:ln>
                        </pic:spPr>
                      </pic:pic>
                    </a:graphicData>
                  </a:graphic>
                </wp:inline>
              </w:drawing>
            </w:r>
          </w:p>
          <w:p w:rsidR="0054066C" w:rsidRPr="00AF7630" w:rsidRDefault="0054066C" w:rsidP="0001557F">
            <w:pPr>
              <w:ind w:firstLineChars="201" w:firstLine="482"/>
              <w:jc w:val="both"/>
              <w:rPr>
                <w:rFonts w:ascii="Times New Roman" w:hAnsi="Times New Roman" w:cs="Times New Roman"/>
                <w:i/>
                <w:iCs/>
                <w:sz w:val="24"/>
                <w:szCs w:val="24"/>
              </w:rPr>
            </w:pPr>
            <w:r w:rsidRPr="00AF7630">
              <w:rPr>
                <w:rFonts w:ascii="Times New Roman" w:hAnsi="Times New Roman" w:cs="Times New Roman"/>
                <w:i/>
                <w:iCs/>
                <w:sz w:val="24"/>
                <w:szCs w:val="24"/>
              </w:rPr>
              <w:t>Trong đó:</w:t>
            </w:r>
          </w:p>
          <w:p w:rsidR="0054066C" w:rsidRPr="00AF7630" w:rsidRDefault="0054066C" w:rsidP="0001557F">
            <w:pPr>
              <w:ind w:firstLineChars="201" w:firstLine="482"/>
              <w:jc w:val="both"/>
              <w:rPr>
                <w:rFonts w:ascii="Times New Roman" w:hAnsi="Times New Roman" w:cs="Times New Roman"/>
                <w:i/>
                <w:iCs/>
                <w:sz w:val="24"/>
                <w:szCs w:val="24"/>
              </w:rPr>
            </w:pPr>
            <w:r w:rsidRPr="00AF7630">
              <w:rPr>
                <w:rFonts w:ascii="Times New Roman" w:hAnsi="Times New Roman" w:cs="Times New Roman"/>
                <w:i/>
                <w:iCs/>
                <w:sz w:val="24"/>
                <w:szCs w:val="24"/>
              </w:rPr>
              <w:t>- R: Tổng số tiền dự phòng cụ thể phải trích của từng khách hàng;</w:t>
            </w:r>
          </w:p>
          <w:p w:rsidR="0054066C" w:rsidRPr="00AF7630" w:rsidRDefault="0054066C" w:rsidP="0001557F">
            <w:pPr>
              <w:ind w:firstLineChars="201" w:firstLine="482"/>
              <w:jc w:val="both"/>
              <w:rPr>
                <w:rFonts w:ascii="Times New Roman" w:hAnsi="Times New Roman" w:cs="Times New Roman"/>
                <w:i/>
                <w:iCs/>
                <w:sz w:val="24"/>
                <w:szCs w:val="24"/>
              </w:rPr>
            </w:pPr>
            <w:r w:rsidRPr="00AF7630">
              <w:rPr>
                <w:rFonts w:ascii="Times New Roman" w:hAnsi="Times New Roman" w:cs="Times New Roman"/>
                <w:i/>
                <w:iCs/>
                <w:sz w:val="24"/>
                <w:szCs w:val="24"/>
              </w:rPr>
              <w:t xml:space="preserve">- </w:t>
            </w:r>
            <w:r w:rsidRPr="00AF7630">
              <w:rPr>
                <w:rFonts w:ascii="Times New Roman" w:hAnsi="Times New Roman" w:cs="Times New Roman"/>
                <w:i/>
                <w:iCs/>
                <w:noProof/>
                <w:sz w:val="24"/>
                <w:szCs w:val="24"/>
              </w:rPr>
              <w:drawing>
                <wp:inline distT="0" distB="0" distL="0" distR="0" wp14:anchorId="3FCBD99F" wp14:editId="0A6878CA">
                  <wp:extent cx="3048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381000"/>
                          </a:xfrm>
                          <a:prstGeom prst="rect">
                            <a:avLst/>
                          </a:prstGeom>
                          <a:noFill/>
                          <a:ln>
                            <a:noFill/>
                          </a:ln>
                        </pic:spPr>
                      </pic:pic>
                    </a:graphicData>
                  </a:graphic>
                </wp:inline>
              </w:drawing>
            </w:r>
            <w:r w:rsidRPr="00AF7630">
              <w:rPr>
                <w:rFonts w:ascii="Times New Roman" w:hAnsi="Times New Roman" w:cs="Times New Roman"/>
                <w:i/>
                <w:iCs/>
                <w:sz w:val="24"/>
                <w:szCs w:val="24"/>
              </w:rPr>
              <w:t>: là tổng số tiền dự phòng cụ thể của khách hàng từ số dư nợ thứ 1 đến thứ n.</w:t>
            </w:r>
          </w:p>
          <w:p w:rsidR="0054066C" w:rsidRPr="00AF7630" w:rsidRDefault="0054066C" w:rsidP="0001557F">
            <w:pPr>
              <w:ind w:firstLineChars="201" w:firstLine="482"/>
              <w:jc w:val="both"/>
              <w:rPr>
                <w:rFonts w:ascii="Times New Roman" w:hAnsi="Times New Roman" w:cs="Times New Roman"/>
                <w:i/>
                <w:iCs/>
                <w:sz w:val="24"/>
                <w:szCs w:val="24"/>
              </w:rPr>
            </w:pPr>
            <w:r w:rsidRPr="00AF7630">
              <w:rPr>
                <w:rFonts w:ascii="Times New Roman" w:hAnsi="Times New Roman" w:cs="Times New Roman"/>
                <w:i/>
                <w:iCs/>
                <w:sz w:val="24"/>
                <w:szCs w:val="24"/>
              </w:rPr>
              <w:t>Ri: là số tiền dự phòng cụ thể phải trích của khách hàng đối với số dư nợ gốc của khoản nợ thứ i. Ri được xác định theo công thức:</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hAnsi="Times New Roman" w:cs="Times New Roman"/>
                <w:i/>
                <w:iCs/>
                <w:sz w:val="24"/>
                <w:szCs w:val="24"/>
              </w:rPr>
              <w:lastRenderedPageBreak/>
              <w:t>Ri = (Ai - Ci) x r”.</w:t>
            </w:r>
          </w:p>
        </w:tc>
        <w:tc>
          <w:tcPr>
            <w:tcW w:w="5953" w:type="dxa"/>
          </w:tcPr>
          <w:p w:rsidR="0054066C" w:rsidRPr="00AF7630" w:rsidRDefault="0054066C"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lastRenderedPageBreak/>
              <w:t>Dự thảo Nghị định đang quy định công thức tính dự phòng được tính theo từng khoản nợ. Nếu căn cứ vào định nghĩa khoản nợ tại Khoản 2 Điều 3 của Dự thảo Nghị định thì có thể xác lập theo từng khế ước giải ngân hoặc theo từng Hợp đồng tín dụng. Tuy nhiên, do các khế ước thuộc cùng một Hợp đồng tín dụng có cùng tài sản bảo đảm và được phân loại vào cùng nhóm nợ, đồng thời việc quản lý rủi ro là theo khách hàng, khi xử lý rủi ro cũng là xử lý rủi ro chung đối với tất cả các khoản nợ của khách hàng nên để tinh gọn hơn, tiết giảm được thời gian thực hiện tính toán và trích lập dự phòng rủi ro hơn nhưng vẫn bảo đảm số tiền trích lập và xử lý rủi ro được giữ nguyên không thay đổi, đề xuất Đơn vị soạn thảo xem xét quy định công thức tính dự phòng rủi ro được tính thống nhất theo từng Hợp đồng tín dụng (thỏa thuận cho vay) đối với mọi trường hợp (bao gồm trường hợp mỗi lần giải ngân có thời hạn, kỳ hạn trả nợ khác nhau và trường hợp giải ngân nhiều lần có thời điểm cuối cùng của thời hạn và kỳ hạn trả nợ giống nhau).</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SAIGONBANK</w:t>
            </w:r>
          </w:p>
        </w:tc>
        <w:tc>
          <w:tcPr>
            <w:tcW w:w="4677"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số tiền trích lập dự phòng tính theo từng khách hàng.</w:t>
            </w:r>
          </w:p>
        </w:tc>
      </w:tr>
      <w:tr w:rsidR="0054066C" w:rsidRPr="00AF7630" w:rsidTr="0069372A">
        <w:tc>
          <w:tcPr>
            <w:tcW w:w="2978" w:type="dxa"/>
            <w:vMerge w:val="restart"/>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4 Điều 4 DTNĐ:</w:t>
            </w:r>
          </w:p>
          <w:p w:rsidR="0054066C" w:rsidRPr="00AF7630" w:rsidRDefault="0054066C"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“4</w:t>
            </w:r>
            <w:r w:rsidRPr="00AF7630">
              <w:rPr>
                <w:rFonts w:ascii="Times New Roman" w:eastAsia="Times New Roman" w:hAnsi="Times New Roman" w:cs="Times New Roman"/>
                <w:i/>
                <w:sz w:val="24"/>
                <w:szCs w:val="24"/>
                <w:lang w:val="vi-VN"/>
              </w:rPr>
              <w:t>. Tài sản bảo đảm để khấu trừ khi tính số tiền dự phòng cụ thể (R) quy định tại khoản 1 Điều này phải đáp ứng các điều kiện sau:</w:t>
            </w:r>
          </w:p>
          <w:p w:rsidR="0054066C" w:rsidRPr="00AF7630" w:rsidRDefault="0054066C"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a) Tổ chức tín dụng, chi nhánh ngân hàng nước ngoài có quyền xử lý tài sản bảo đảm theo hợp đồng bảo đảm và theo quy định của pháp luật khi khách hàng không thực hiện nghĩa vụ của mình theo thỏa thuận;</w:t>
            </w:r>
          </w:p>
          <w:p w:rsidR="0054066C" w:rsidRPr="00AF7630" w:rsidRDefault="0054066C"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b) Thời gian xử lý tài sản bảo đảm theo dự kiến không quá 01 (một) năm đối với tài sản bảo đảm không phải là bất động sản và không quá 02 (hai) năm đối với tài sản bảo đảm là bất động sản, kể từ khi tổ chức tín dụng, chi nhánh ngân hàng nước ngoài có quyền xử lý tài sản bảo đảm</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theo hợp đồng bảo đảm và theo quy định của pháp luật;</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 xml:space="preserve">c) Tài sản bảo đảm phải </w:t>
            </w:r>
            <w:r w:rsidRPr="00AF7630">
              <w:rPr>
                <w:rFonts w:ascii="Times New Roman" w:eastAsia="Times New Roman" w:hAnsi="Times New Roman" w:cs="Times New Roman"/>
                <w:i/>
                <w:sz w:val="24"/>
                <w:szCs w:val="24"/>
              </w:rPr>
              <w:t>tuân thủ</w:t>
            </w:r>
            <w:r w:rsidRPr="00AF7630">
              <w:rPr>
                <w:rFonts w:ascii="Times New Roman" w:eastAsia="Times New Roman" w:hAnsi="Times New Roman" w:cs="Times New Roman"/>
                <w:i/>
                <w:sz w:val="24"/>
                <w:szCs w:val="24"/>
                <w:lang w:val="vi-VN"/>
              </w:rPr>
              <w:t xml:space="preserve"> quy định của pháp luật về giao dịch bảo đảm và pháp luật khác có liên quan</w:t>
            </w:r>
            <w:r w:rsidRPr="00AF7630">
              <w:rPr>
                <w:rFonts w:ascii="Times New Roman" w:eastAsia="Times New Roman" w:hAnsi="Times New Roman" w:cs="Times New Roman"/>
                <w:i/>
                <w:sz w:val="24"/>
                <w:szCs w:val="24"/>
              </w:rPr>
              <w:t>.”</w:t>
            </w: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1. Theo Dự thảo, tài sản bảo đảm (TSBĐ) để khấu trừ khi tính số tiền dự phòng cụ thể cần đáp ứng một trong các điều kiện là: TCTD có quyền xử lý TSBĐ theo hợp đồng bảo đảm và theo quy định của pháp luật khi khách hàng không thực hiện nghĩa vụ của mình theo thỏa thuận. Ngoài hợp đồng bảo đảm, thỏa thuận về việc xử lý TSBĐ có thể được TCTD và khách hàng thỏa thuận tại thỏa thuận cấp tín dụng hoặc văn bản khác. Do đó, PGBank đề xuất Ban soạn thảo bổ sung thêm trường hợp TCTD có quyền xử lý TSBĐ theo “thỏa thuận cấp tín dụng hoặc văn bản thỏa thuận khác” tại điểm a Khoản 4 Điều 4 của Dự thảo.</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2. Đối với thời gian xử lý tài sản bảo đảm tại điểm b Khoản 4 Điều 4 của Dự thảo, PGBank kiến nghị Ban soạn thảo làm rõ thêm thời điểm bắt đầu xác định TCTD có quyền xử lý TSBĐ là khi nào (khi có quyết định thu hồi TSBĐ của TCTD hay có quyết định thi hành án…).</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PGBank, HDBank, SHB</w:t>
            </w:r>
          </w:p>
        </w:tc>
        <w:tc>
          <w:tcPr>
            <w:tcW w:w="4677"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Nội dung 1:</w:t>
            </w: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cụm từ “hợp đồng bảo đảm” thành “thỏa thuận về biện pháp bảo đảm”.</w:t>
            </w:r>
          </w:p>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Nội dung 2:</w:t>
            </w: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dự thảo Nghị định đã quy định cụ cụ thể thời điểm để xác định thời gian dự kiến xử lý tài sản bảo đảm là kể từ khi tổ chức tín dụng, chi nhánh ngân hàng nước ngoài có quyền xử lý tài sản bảo đảm theo thỏa thuận về biện pháp bảo đảm và theo quy định của pháp luật.</w:t>
            </w: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Nội dung quy định điểm b khoản 4 Điều 4 kế thừa quy định tại Thông tư 11/2021/TT-NHNN và sửa đổi để thống nhất với quy định tại khoản a Điều này, tuy nhiên trong thực tế hoạt động của GPBank nói riêng và các tổ chức tín dụng nói chung thời hạn 2 năm để xử lý tài sản bảo đảm là bất động sản xuất hiện nhiều vướng mắc và bất cập. Ví dụ cụ thể khi khách hàng vi phạm hợp đồng tín dụng, hợp đồng thế chấp hoặc các trường hợp khác dẫn đến việc Ngân hàng phát sinh quyền xử lý tài sản bảo đảm, Ngân hàng đã thực hiện toàn bộ các biện pháp xử lý nợ và đã khởi kiện, có bản án và quyết định thi hành án. Tuy nhiên trên thực tế tồn tại rất nhiều trường hợp tồn đọng không xử lý được tài sản bảo đảm trong giai đoạn tố tụng (do quá trình tại tòa án, thi hành án kéo dài) dẫn đến việc các tổ chức tín dụng không được khấu trừ mà phải trích lập dự phòng rủi ro đối với các trường hợp này, kéo theo ảnh hưởng trực tiếp đến lợi nhuận và nguồn tiền hoạt động của tổ chức tín dụng.</w:t>
            </w:r>
          </w:p>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GPBank đề xuất xem xét lại thời gian xử lý tài sản bảo đảm quy định tại điểm b khoản 4 Điều 4 dự thảo Nghị  định để phù hợp hơn với thực thế hoạt động của tổ chức tín dụng, có </w:t>
            </w:r>
            <w:r w:rsidRPr="00AF7630">
              <w:rPr>
                <w:rFonts w:ascii="Times New Roman" w:eastAsia="Times New Roman" w:hAnsi="Times New Roman" w:cs="Times New Roman"/>
                <w:sz w:val="24"/>
                <w:szCs w:val="24"/>
              </w:rPr>
              <w:lastRenderedPageBreak/>
              <w:t>thể kéo dài thời hạn này lên 3 đến 5 năm.</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GPBank</w:t>
            </w:r>
          </w:p>
        </w:tc>
        <w:tc>
          <w:tcPr>
            <w:tcW w:w="4677" w:type="dxa"/>
            <w:vMerge w:val="restart"/>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Việc quy định thời gian dự kiến xử lý TSBĐ tại dự thảo Nghị định chỉ sử dụng để xác định tài sản bảo đảm có đủ điều kiện để tính khấu trừ khi trích lập dự phòng mà không ảnh hưởng tới quyền của TCTD trong việc xử lý tài sản bảo đảm đã thỏa thuận với khách hàng và theo quy định pháp luật; bên cạnh đó, quy định này cũng không giới hạn thời gian xử lý TSBĐ thực tế của TCTD, chi nhánh NHNg.</w:t>
            </w:r>
          </w:p>
          <w:p w:rsidR="0054066C" w:rsidRPr="00AF7630" w:rsidRDefault="0054066C" w:rsidP="00AF7630">
            <w:pPr>
              <w:jc w:val="both"/>
            </w:pP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Tiếp thu một phần</w:t>
            </w:r>
            <w:r w:rsidRPr="00AF7630">
              <w:rPr>
                <w:rFonts w:ascii="Times New Roman" w:eastAsia="Times New Roman" w:hAnsi="Times New Roman" w:cs="Times New Roman"/>
                <w:sz w:val="24"/>
                <w:szCs w:val="24"/>
              </w:rPr>
              <w:t xml:space="preserve">, dự thảo Nghị định chỉnh sửa theo hướng chuyển điểm b khoản 4 </w:t>
            </w:r>
          </w:p>
          <w:p w:rsidR="0054066C" w:rsidRPr="00AF7630" w:rsidRDefault="0054066C" w:rsidP="00AF7630">
            <w:pPr>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thành điểm b khoản 5, đồng thời có chỉnh sửa</w:t>
            </w:r>
          </w:p>
          <w:p w:rsidR="0054066C" w:rsidRPr="00AF7630" w:rsidRDefault="0054066C" w:rsidP="00E52E24">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để đảm bảo rõ ràng hơn trong việc xác định tài sản bảo đảm đủ điều kiện hoặc không đủ điều kiện để khấu trừ khi tính số tiền dự phòng cụ thể như sau:</w:t>
            </w:r>
          </w:p>
          <w:p w:rsidR="0054066C" w:rsidRPr="00AF7630" w:rsidRDefault="0054066C" w:rsidP="00E52E24">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“4. Tài sản bảo đảm để khấu trừ khi tính số tiền dự phòng cụ thể (R) quy định tại khoản 1 Điều này phải đáp ứng các điều kiện sau:</w:t>
            </w:r>
          </w:p>
          <w:p w:rsidR="0054066C" w:rsidRPr="00AF7630" w:rsidRDefault="0054066C" w:rsidP="00E52E24">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a) Tài sản bảo đảm phải tuân thủ quy định </w:t>
            </w:r>
            <w:r w:rsidRPr="00AF7630">
              <w:rPr>
                <w:rFonts w:ascii="Times New Roman" w:eastAsia="Times New Roman" w:hAnsi="Times New Roman" w:cs="Times New Roman"/>
                <w:i/>
                <w:sz w:val="24"/>
                <w:szCs w:val="24"/>
              </w:rPr>
              <w:lastRenderedPageBreak/>
              <w:t>của pháp luật về bảo đảm thực hiện nghĩa vụ và pháp luật khác có liên quan.</w:t>
            </w:r>
          </w:p>
          <w:p w:rsidR="0054066C" w:rsidRPr="00AF7630" w:rsidRDefault="0054066C" w:rsidP="00E52E24">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b) Tổ chức tín dụng, chi nhánh ngân hàng nước ngoài có quyền xử lý tài sản bảo đảm theo thỏa thuận về biện pháp bảo đảm và theo quy định của pháp luật khi khách hàng không thực hiện nghĩa vụ của mình theo thỏa thuận;</w:t>
            </w:r>
          </w:p>
          <w:p w:rsidR="0054066C" w:rsidRPr="00AF7630" w:rsidRDefault="0054066C" w:rsidP="00E52E24">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5. Giá trị khấu trừ của tài sản bảo đảm phải coi bằng 0 (không) trong các trường hợp sau:</w:t>
            </w:r>
          </w:p>
          <w:p w:rsidR="0054066C" w:rsidRPr="00AF7630" w:rsidRDefault="0054066C" w:rsidP="00E52E24">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a) Tài sản bảo đảm không đáp ứng các điều kiện quy định tại Khoản 4 Điều này;</w:t>
            </w:r>
          </w:p>
          <w:p w:rsidR="0054066C" w:rsidRPr="00AF7630" w:rsidRDefault="0054066C" w:rsidP="00E52E24">
            <w:pPr>
              <w:jc w:val="both"/>
              <w:rPr>
                <w:rFonts w:ascii="Times New Roman" w:eastAsia="Times New Roman" w:hAnsi="Times New Roman" w:cs="Times New Roman"/>
                <w:i/>
                <w:sz w:val="24"/>
                <w:szCs w:val="24"/>
                <w:u w:val="single"/>
              </w:rPr>
            </w:pPr>
            <w:r w:rsidRPr="00AF7630">
              <w:rPr>
                <w:rFonts w:ascii="Times New Roman" w:eastAsia="Times New Roman" w:hAnsi="Times New Roman" w:cs="Times New Roman"/>
                <w:i/>
                <w:sz w:val="24"/>
                <w:szCs w:val="24"/>
                <w:u w:val="single"/>
              </w:rPr>
              <w:t>b) Quá thời gian 01 (một) năm đối với tài sản bảo đảm không phải là bất động sản và quá thời gian 02 (hai) năm đối với tài sản bảo đảm là bất động sản, kể từ khi tổ chức tín dụng, chi nhánh ngân hàng nước ngoài có quyền xử lý tài sản bảo đảm theo thỏa thuận về biện pháp bảo đảm và theo quy định của pháp luật;”</w:t>
            </w:r>
          </w:p>
          <w:p w:rsidR="0054066C" w:rsidRPr="00AF7630" w:rsidRDefault="0054066C" w:rsidP="00785EEA">
            <w:pPr>
              <w:jc w:val="both"/>
              <w:rPr>
                <w:rFonts w:ascii="Times New Roman" w:eastAsia="Times New Roman" w:hAnsi="Times New Roman" w:cs="Times New Roman"/>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Đề nghị cân nhắc kéo dài thời gian xử lý tài sản bảo đảm dự kiến vì thực tế khó xử lý được tài sản bảo đảm theo thời gian dự kiến nêu trên.</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MSB</w:t>
            </w:r>
          </w:p>
        </w:tc>
        <w:tc>
          <w:tcPr>
            <w:tcW w:w="4677" w:type="dxa"/>
            <w:vMerge/>
          </w:tcPr>
          <w:p w:rsidR="0054066C" w:rsidRPr="00AF7630" w:rsidRDefault="0054066C" w:rsidP="0001557F">
            <w:pPr>
              <w:jc w:val="both"/>
              <w:rPr>
                <w:rFonts w:ascii="Times New Roman" w:eastAsia="Times New Roman" w:hAnsi="Times New Roman" w:cs="Times New Roman"/>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4, điểm b quy định việc xác định thời gian dự kiến để xử lý tài sản bảo đảm là không khả thi và không có cơ sở do: i) TCTD không còn quyền thu giữ tài sản bảo đảm để xử lý nhằm thu hồi nợ; ii) Giữa quyền xử lý tài sản bảo đảm theo quy định trong họp đồng bảo đảm và khả năng của TCTD có thể xử lý được tài sản bảo đảm trên thực tế là không đồng nhất do nhiều nguyên nhân (như bên bảo đám không hợp tác, tài sản phát sinh tranh chấp...).</w:t>
            </w:r>
          </w:p>
        </w:tc>
        <w:tc>
          <w:tcPr>
            <w:tcW w:w="2268" w:type="dxa"/>
          </w:tcPr>
          <w:p w:rsidR="0054066C" w:rsidRPr="00AF7630" w:rsidRDefault="0054066C"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Bộ Công an</w:t>
            </w:r>
          </w:p>
        </w:tc>
        <w:tc>
          <w:tcPr>
            <w:tcW w:w="4677" w:type="dxa"/>
            <w:vMerge/>
          </w:tcPr>
          <w:p w:rsidR="0054066C" w:rsidRPr="00AF7630" w:rsidRDefault="0054066C" w:rsidP="0001557F">
            <w:pPr>
              <w:jc w:val="both"/>
              <w:rPr>
                <w:rFonts w:ascii="Times New Roman" w:eastAsia="Times New Roman" w:hAnsi="Times New Roman" w:cs="Times New Roman"/>
                <w:b/>
                <w:sz w:val="24"/>
                <w:szCs w:val="24"/>
              </w:rPr>
            </w:pPr>
          </w:p>
        </w:tc>
      </w:tr>
      <w:tr w:rsidR="0054066C" w:rsidRPr="00AF7630" w:rsidTr="0069372A">
        <w:tc>
          <w:tcPr>
            <w:tcW w:w="2978" w:type="dxa"/>
            <w:vMerge/>
          </w:tcPr>
          <w:p w:rsidR="0054066C" w:rsidRPr="00AF7630" w:rsidRDefault="0054066C" w:rsidP="0001557F">
            <w:pPr>
              <w:jc w:val="both"/>
              <w:rPr>
                <w:rFonts w:ascii="Times New Roman" w:eastAsia="Times New Roman" w:hAnsi="Times New Roman" w:cs="Times New Roman"/>
                <w:sz w:val="24"/>
                <w:szCs w:val="24"/>
              </w:rPr>
            </w:pPr>
          </w:p>
        </w:tc>
        <w:tc>
          <w:tcPr>
            <w:tcW w:w="5953" w:type="dxa"/>
          </w:tcPr>
          <w:p w:rsidR="0054066C" w:rsidRPr="00AF7630" w:rsidRDefault="0054066C" w:rsidP="00F45664">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 xml:space="preserve">Theo khoản 3 Điều 139 Luật các TCTD 2024 quy định: </w:t>
            </w:r>
            <w:r w:rsidRPr="00AF7630">
              <w:rPr>
                <w:rFonts w:ascii="Times New Roman" w:hAnsi="Times New Roman" w:cs="Times New Roman"/>
                <w:i/>
                <w:sz w:val="24"/>
                <w:szCs w:val="24"/>
                <w:lang w:val="pl-PL"/>
              </w:rPr>
              <w:t>“3. Nắm giữ bất động sản do việc xử lý nợ. Trong thời hạn 05 năm kể từ ngày quyết định xử lý tài sản bảo đảm là bất động sản, tổ chức tín dụng phải bán, chuyển nhượng hoặc mua lại bất động sản này. Trường hợp mua lại bất động sản phải bảo đảm mục đích sử dụng quy định tại khoản 1 Điều này và tỷ lệ đầu tư vào tài sản cố định quy định tại khoản 3 Điều 144 của Luật này”.</w:t>
            </w:r>
          </w:p>
          <w:p w:rsidR="0054066C" w:rsidRPr="00AF7630" w:rsidRDefault="0054066C" w:rsidP="00EB4681">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Đề nghị cơ quan chủ trì chỉnh lý nội dung về: (i) Thời gian xử lý TSBĐ đối với BĐS là không quá 05 năm kể từ ngày quyết định xử lý TSBĐ; (ii) Mốc thời điểm bắt đầu để tính thời gian xử lý TSBĐ (1 năm hay 5 năm) tại điều này, để rõ ràng, phù hợp với Luật các TCTD 2024 và pháp luậ</w:t>
            </w:r>
            <w:r w:rsidR="00EB4681">
              <w:rPr>
                <w:rFonts w:ascii="Times New Roman" w:hAnsi="Times New Roman" w:cs="Times New Roman"/>
                <w:sz w:val="24"/>
                <w:szCs w:val="24"/>
                <w:lang w:val="pl-PL"/>
              </w:rPr>
              <w:t>t có liên quan.</w:t>
            </w:r>
          </w:p>
        </w:tc>
        <w:tc>
          <w:tcPr>
            <w:tcW w:w="2268" w:type="dxa"/>
          </w:tcPr>
          <w:p w:rsidR="0054066C" w:rsidRPr="00AF7630" w:rsidRDefault="0054066C" w:rsidP="00F45664">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 xml:space="preserve">Techcombank, </w:t>
            </w:r>
            <w:r w:rsidRPr="00AF7630">
              <w:rPr>
                <w:rFonts w:ascii="Times New Roman" w:hAnsi="Times New Roman" w:cs="Times New Roman"/>
                <w:sz w:val="24"/>
                <w:szCs w:val="24"/>
              </w:rPr>
              <w:t>SAIGONBANK</w:t>
            </w:r>
          </w:p>
        </w:tc>
        <w:tc>
          <w:tcPr>
            <w:tcW w:w="4677" w:type="dxa"/>
            <w:vMerge/>
          </w:tcPr>
          <w:p w:rsidR="0054066C" w:rsidRPr="00AF7630" w:rsidRDefault="0054066C" w:rsidP="0001557F">
            <w:pPr>
              <w:jc w:val="both"/>
              <w:rPr>
                <w:rFonts w:ascii="Times New Roman" w:eastAsia="Times New Roman" w:hAnsi="Times New Roman" w:cs="Times New Roman"/>
                <w:b/>
                <w:sz w:val="24"/>
                <w:szCs w:val="24"/>
              </w:rPr>
            </w:pPr>
          </w:p>
        </w:tc>
      </w:tr>
      <w:tr w:rsidR="00EB4681" w:rsidRPr="00AF7630" w:rsidTr="0069372A">
        <w:tc>
          <w:tcPr>
            <w:tcW w:w="2978" w:type="dxa"/>
            <w:vMerge/>
          </w:tcPr>
          <w:p w:rsidR="00EB4681" w:rsidRPr="00AF7630" w:rsidRDefault="00EB4681" w:rsidP="0001557F">
            <w:pPr>
              <w:jc w:val="both"/>
              <w:rPr>
                <w:rFonts w:ascii="Times New Roman" w:eastAsia="Times New Roman" w:hAnsi="Times New Roman" w:cs="Times New Roman"/>
                <w:sz w:val="24"/>
                <w:szCs w:val="24"/>
              </w:rPr>
            </w:pPr>
          </w:p>
        </w:tc>
        <w:tc>
          <w:tcPr>
            <w:tcW w:w="5953" w:type="dxa"/>
          </w:tcPr>
          <w:p w:rsidR="00EB4681" w:rsidRPr="00AF7630" w:rsidRDefault="00EB4681" w:rsidP="00FA7DBA">
            <w:pPr>
              <w:ind w:left="2"/>
              <w:contextualSpacing/>
              <w:jc w:val="both"/>
              <w:rPr>
                <w:rFonts w:ascii="Times New Roman" w:hAnsi="Times New Roman" w:cs="Times New Roman"/>
                <w:b/>
                <w:bCs/>
                <w:spacing w:val="-2"/>
                <w:sz w:val="24"/>
                <w:szCs w:val="24"/>
              </w:rPr>
            </w:pPr>
            <w:r w:rsidRPr="00AF7630">
              <w:rPr>
                <w:rFonts w:ascii="Times New Roman" w:hAnsi="Times New Roman" w:cs="Times New Roman"/>
                <w:b/>
                <w:bCs/>
                <w:spacing w:val="-2"/>
                <w:sz w:val="24"/>
                <w:szCs w:val="24"/>
              </w:rPr>
              <w:t>Điểm b khoản 4 Điều 4: Đề xuất:</w:t>
            </w:r>
          </w:p>
          <w:p w:rsidR="00EB4681" w:rsidRPr="00AF7630" w:rsidRDefault="00EB4681" w:rsidP="00FA7DBA">
            <w:pPr>
              <w:ind w:left="2"/>
              <w:contextualSpacing/>
              <w:jc w:val="both"/>
              <w:rPr>
                <w:rFonts w:ascii="Times New Roman" w:hAnsi="Times New Roman" w:cs="Times New Roman"/>
                <w:spacing w:val="-2"/>
                <w:sz w:val="24"/>
                <w:szCs w:val="24"/>
              </w:rPr>
            </w:pPr>
            <w:r w:rsidRPr="00AF7630">
              <w:rPr>
                <w:rFonts w:ascii="Times New Roman" w:hAnsi="Times New Roman" w:cs="Times New Roman"/>
                <w:spacing w:val="-2"/>
                <w:sz w:val="24"/>
                <w:szCs w:val="24"/>
              </w:rPr>
              <w:t>1. Đề nghị NHNN xem xét có hướng dẫn chi tiết cần đánh giá thời gian dự kiến như thế nào? Tiêu chí xác định như thế nào (hoặc theo quy định nội bộ của TCTD) để tránh việc hiểu theo quan điểm cá nhân không thống nhất trong quá trình thực hiện.</w:t>
            </w:r>
          </w:p>
          <w:p w:rsidR="00EB4681" w:rsidRPr="00AF7630" w:rsidRDefault="00EB4681" w:rsidP="00FA7DBA">
            <w:pPr>
              <w:ind w:left="-108"/>
              <w:jc w:val="both"/>
              <w:rPr>
                <w:rFonts w:ascii="Times New Roman" w:eastAsia="Times New Roman" w:hAnsi="Times New Roman" w:cs="Times New Roman"/>
                <w:sz w:val="24"/>
                <w:szCs w:val="24"/>
              </w:rPr>
            </w:pPr>
            <w:r w:rsidRPr="00AF7630">
              <w:rPr>
                <w:rFonts w:ascii="Times New Roman" w:hAnsi="Times New Roman" w:cs="Times New Roman"/>
                <w:spacing w:val="-2"/>
                <w:sz w:val="24"/>
                <w:szCs w:val="24"/>
              </w:rPr>
              <w:t xml:space="preserve">2. Quyền xử lý tài sản rất khó để xác định, thủ tục nào để xác lập quyền đó. Đề xuất sửa thành </w:t>
            </w:r>
            <w:r w:rsidRPr="00AF7630">
              <w:rPr>
                <w:rFonts w:ascii="Times New Roman" w:hAnsi="Times New Roman" w:cs="Times New Roman"/>
                <w:i/>
                <w:iCs/>
                <w:spacing w:val="-2"/>
                <w:sz w:val="24"/>
                <w:szCs w:val="24"/>
              </w:rPr>
              <w:t>“…kể từ ngày quá hạn tính đến thời điểm xác định giá trị tài sản trích lập dự phòng</w:t>
            </w:r>
            <w:r w:rsidRPr="00AF7630">
              <w:rPr>
                <w:rFonts w:ascii="Times New Roman" w:hAnsi="Times New Roman" w:cs="Times New Roman"/>
                <w:spacing w:val="-2"/>
                <w:sz w:val="24"/>
                <w:szCs w:val="24"/>
              </w:rPr>
              <w:t>” để thống nhất thực hiện và có thể đẩy nhanh thời gian xử lý nợ phù hợp định hướng quản lý của NHNN.</w:t>
            </w:r>
          </w:p>
        </w:tc>
        <w:tc>
          <w:tcPr>
            <w:tcW w:w="2268" w:type="dxa"/>
          </w:tcPr>
          <w:p w:rsidR="00EB4681" w:rsidRPr="00AF7630" w:rsidRDefault="00EB4681" w:rsidP="00FA7DBA">
            <w:pPr>
              <w:jc w:val="both"/>
              <w:rPr>
                <w:rFonts w:ascii="Times New Roman" w:eastAsia="Times New Roman" w:hAnsi="Times New Roman" w:cs="Times New Roman"/>
                <w:sz w:val="24"/>
                <w:szCs w:val="24"/>
              </w:rPr>
            </w:pPr>
            <w:r w:rsidRPr="00AF7630">
              <w:rPr>
                <w:rFonts w:ascii="Times New Roman" w:hAnsi="Times New Roman" w:cs="Times New Roman"/>
                <w:spacing w:val="-2"/>
                <w:sz w:val="24"/>
                <w:szCs w:val="24"/>
              </w:rPr>
              <w:t>Quân đội</w:t>
            </w:r>
          </w:p>
        </w:tc>
        <w:tc>
          <w:tcPr>
            <w:tcW w:w="4677" w:type="dxa"/>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xml:space="preserve">- </w:t>
            </w:r>
            <w:r w:rsidRPr="00AF7630">
              <w:rPr>
                <w:rFonts w:ascii="Times New Roman" w:eastAsia="Times New Roman" w:hAnsi="Times New Roman" w:cs="Times New Roman"/>
                <w:sz w:val="24"/>
                <w:szCs w:val="24"/>
              </w:rPr>
              <w:t>Quy định tại Dự thảo Nghị định trên cơ sở kế thừa quy định tại Thông tư 11.</w:t>
            </w:r>
          </w:p>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Thời gian dự kiến xử lý TSBĐ do TCTD tự xác định để tính TSBĐ để khấu trừ khi tính số tiền dự phòng cụ thể.</w:t>
            </w:r>
          </w:p>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Việc xác định quyền xử lý tài sản bảo đảm thực hiện theo quy định của pháp luật (Điều 299 Bộ Luật Dân sự 2015.</w:t>
            </w:r>
          </w:p>
        </w:tc>
      </w:tr>
      <w:tr w:rsidR="00EB4681" w:rsidRPr="00AF7630" w:rsidTr="0069372A">
        <w:tc>
          <w:tcPr>
            <w:tcW w:w="2978" w:type="dxa"/>
            <w:vMerge/>
          </w:tcPr>
          <w:p w:rsidR="00EB4681" w:rsidRPr="00AF7630" w:rsidRDefault="00EB4681" w:rsidP="0001557F">
            <w:pPr>
              <w:jc w:val="both"/>
              <w:rPr>
                <w:rFonts w:ascii="Times New Roman" w:eastAsia="Times New Roman" w:hAnsi="Times New Roman" w:cs="Times New Roman"/>
                <w:sz w:val="24"/>
                <w:szCs w:val="24"/>
              </w:rPr>
            </w:pPr>
          </w:p>
        </w:tc>
        <w:tc>
          <w:tcPr>
            <w:tcW w:w="5953" w:type="dxa"/>
          </w:tcPr>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Tại điểm c khoản 4: Đề xuất điều chỉnh thuật ngữ phù hợp với các quy định pháp luật có liên quan, cụ thể:</w:t>
            </w:r>
          </w:p>
          <w:p w:rsidR="00EB4681" w:rsidRPr="00AF7630" w:rsidRDefault="00EB4681" w:rsidP="0001557F">
            <w:pPr>
              <w:ind w:left="2"/>
              <w:contextualSpacing/>
              <w:jc w:val="both"/>
              <w:rPr>
                <w:rFonts w:ascii="Times New Roman" w:hAnsi="Times New Roman" w:cs="Times New Roman"/>
                <w:spacing w:val="-2"/>
                <w:sz w:val="24"/>
                <w:szCs w:val="24"/>
              </w:rPr>
            </w:pPr>
            <w:r w:rsidRPr="00AF7630">
              <w:rPr>
                <w:rFonts w:ascii="Times New Roman" w:eastAsia="Times New Roman" w:hAnsi="Times New Roman" w:cs="Times New Roman"/>
                <w:sz w:val="24"/>
                <w:szCs w:val="24"/>
              </w:rPr>
              <w:t>c) Tài sản bảo đảm phải tuân thủ quy định của pháp luật về giao dịch bảo đảm </w:t>
            </w:r>
            <w:r w:rsidRPr="00AF7630">
              <w:rPr>
                <w:rFonts w:ascii="Times New Roman" w:eastAsia="Times New Roman" w:hAnsi="Times New Roman" w:cs="Times New Roman"/>
                <w:b/>
                <w:bCs/>
                <w:sz w:val="24"/>
                <w:szCs w:val="24"/>
              </w:rPr>
              <w:t>bảo đảm thực hiện nghĩa vụ</w:t>
            </w:r>
            <w:r w:rsidRPr="00AF7630">
              <w:rPr>
                <w:rFonts w:ascii="Times New Roman" w:eastAsia="Times New Roman" w:hAnsi="Times New Roman" w:cs="Times New Roman"/>
                <w:sz w:val="24"/>
                <w:szCs w:val="24"/>
              </w:rPr>
              <w:t> và pháp luật khác có liên quan;</w:t>
            </w:r>
          </w:p>
        </w:tc>
        <w:tc>
          <w:tcPr>
            <w:tcW w:w="2268" w:type="dxa"/>
          </w:tcPr>
          <w:p w:rsidR="00EB4681" w:rsidRPr="00AF7630" w:rsidRDefault="00EB4681" w:rsidP="0001557F">
            <w:pPr>
              <w:tabs>
                <w:tab w:val="left" w:pos="720"/>
              </w:tabs>
              <w:ind w:left="2"/>
              <w:contextualSpacing/>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tcPr>
          <w:p w:rsidR="00EB4681" w:rsidRPr="00AF7630" w:rsidRDefault="00EB4681" w:rsidP="0001557F">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tại điểm c khoản 4 Điều 4 dự thảo Nghị định:</w:t>
            </w:r>
            <w:r w:rsidRPr="00AF7630">
              <w:rPr>
                <w:rFonts w:ascii="Times New Roman" w:eastAsia="Times New Roman" w:hAnsi="Times New Roman" w:cs="Times New Roman"/>
                <w:i/>
                <w:sz w:val="24"/>
                <w:szCs w:val="24"/>
              </w:rPr>
              <w:t xml:space="preserve"> “c) Tài sản bảo đảm phải tuân thủ quy định của pháp luật về giao dịch bảo đảm </w:t>
            </w:r>
            <w:r w:rsidRPr="00AF7630">
              <w:rPr>
                <w:rFonts w:ascii="Times New Roman" w:eastAsia="Times New Roman" w:hAnsi="Times New Roman" w:cs="Times New Roman"/>
                <w:i/>
                <w:sz w:val="24"/>
                <w:szCs w:val="24"/>
                <w:u w:val="single"/>
              </w:rPr>
              <w:t>thực hiện nghĩa vụ</w:t>
            </w:r>
            <w:r w:rsidRPr="00AF7630">
              <w:rPr>
                <w:rFonts w:ascii="Times New Roman" w:eastAsia="Times New Roman" w:hAnsi="Times New Roman" w:cs="Times New Roman"/>
                <w:i/>
                <w:sz w:val="24"/>
                <w:szCs w:val="24"/>
              </w:rPr>
              <w:t xml:space="preserve"> và pháp luật khác có liên quan.”</w:t>
            </w:r>
          </w:p>
        </w:tc>
      </w:tr>
      <w:tr w:rsidR="00EB4681" w:rsidRPr="00AF7630" w:rsidTr="0069372A">
        <w:tc>
          <w:tcPr>
            <w:tcW w:w="2978" w:type="dxa"/>
            <w:vMerge/>
          </w:tcPr>
          <w:p w:rsidR="00EB4681" w:rsidRPr="00AF7630" w:rsidRDefault="00EB4681" w:rsidP="0001557F">
            <w:pPr>
              <w:jc w:val="both"/>
              <w:rPr>
                <w:rFonts w:ascii="Times New Roman" w:eastAsia="Times New Roman" w:hAnsi="Times New Roman" w:cs="Times New Roman"/>
                <w:sz w:val="24"/>
                <w:szCs w:val="24"/>
              </w:rPr>
            </w:pPr>
          </w:p>
        </w:tc>
        <w:tc>
          <w:tcPr>
            <w:tcW w:w="5953" w:type="dxa"/>
          </w:tcPr>
          <w:p w:rsidR="00EB4681" w:rsidRPr="00AF7630" w:rsidRDefault="00EB4681"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 xml:space="preserve">Trên thực tế cũng phát sinh các trường hợp Khách hàng (“KH”) có phát sinh nợ quá hạn, vi phạm thỏa thuận thanh toán nhưng KH vẫn thanh toán dần (chưa thanh toán dứt điểm nợ quá hạn) thì Ngân hàng vẫn chưa xử lý tài sản bảo đảm (“TSBĐ”) để tạo điều kiện cho KH được thanh toán để giữ TSBĐ. </w:t>
            </w:r>
          </w:p>
          <w:p w:rsidR="00EB4681" w:rsidRPr="00AF7630" w:rsidRDefault="00EB4681"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Do đó, Vietbank kính đề xuất NHNN xem xét điều chỉnh thời điểm tính thời gian xử lý TSBĐ được tính “kể từ ngày tổ chức tín dụng, chi nhánh ngân hàng nước ngoài phát hành Thông báo xử lý TSBĐ theo quy định của HĐBĐ và theo quy định của pháp luật” nhằm làm rõ mốc thời gian làm căn cứ xác định TSBĐ quá thời hạn xử lý.</w:t>
            </w:r>
          </w:p>
        </w:tc>
        <w:tc>
          <w:tcPr>
            <w:tcW w:w="2268" w:type="dxa"/>
          </w:tcPr>
          <w:p w:rsidR="00EB4681" w:rsidRPr="00AF7630" w:rsidRDefault="00EB4681"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Vietbank</w:t>
            </w:r>
          </w:p>
        </w:tc>
        <w:tc>
          <w:tcPr>
            <w:tcW w:w="4677" w:type="dxa"/>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Không tiếp thu,</w:t>
            </w:r>
            <w:r w:rsidRPr="00AF7630">
              <w:rPr>
                <w:rFonts w:ascii="Times New Roman" w:eastAsia="Times New Roman" w:hAnsi="Times New Roman" w:cs="Times New Roman"/>
                <w:sz w:val="24"/>
                <w:szCs w:val="24"/>
              </w:rPr>
              <w:t xml:space="preserve"> tại mỗi thời điểm thực hiện trích lập dự phòng theo quy định tại Điều 9 dự thảo Nghị định, TCTD, chi nhánh NHNg căn cứ theo quy định pháp luật, thỏa thuận với khách hàng để xác định lại thời điểm tổ chức tín dụng, chi nhánh NHNg có quyền xử lý tài sản bảo đảm.</w:t>
            </w:r>
          </w:p>
        </w:tc>
      </w:tr>
      <w:tr w:rsidR="00EB4681" w:rsidRPr="00AF7630" w:rsidTr="0069372A">
        <w:tc>
          <w:tcPr>
            <w:tcW w:w="2978" w:type="dxa"/>
            <w:vMerge/>
          </w:tcPr>
          <w:p w:rsidR="00EB4681" w:rsidRPr="00AF7630" w:rsidRDefault="00EB4681" w:rsidP="0001557F">
            <w:pPr>
              <w:jc w:val="both"/>
              <w:rPr>
                <w:rFonts w:ascii="Times New Roman" w:eastAsia="Times New Roman" w:hAnsi="Times New Roman" w:cs="Times New Roman"/>
                <w:sz w:val="24"/>
                <w:szCs w:val="24"/>
              </w:rPr>
            </w:pPr>
          </w:p>
        </w:tc>
        <w:tc>
          <w:tcPr>
            <w:tcW w:w="5953" w:type="dxa"/>
          </w:tcPr>
          <w:p w:rsidR="00EB4681" w:rsidRPr="00AF7630" w:rsidRDefault="00EB4681" w:rsidP="0001557F">
            <w:pPr>
              <w:ind w:left="-108"/>
              <w:jc w:val="both"/>
              <w:rPr>
                <w:rFonts w:ascii="Times New Roman" w:hAnsi="Times New Roman" w:cs="Times New Roman"/>
                <w:sz w:val="24"/>
                <w:szCs w:val="24"/>
                <w:lang w:val="pl-PL"/>
              </w:rPr>
            </w:pPr>
            <w:bookmarkStart w:id="3" w:name="dieu_12"/>
            <w:r w:rsidRPr="00AF7630">
              <w:rPr>
                <w:rFonts w:ascii="Times New Roman" w:hAnsi="Times New Roman" w:cs="Times New Roman"/>
                <w:sz w:val="24"/>
                <w:szCs w:val="24"/>
                <w:lang w:val="pl-PL"/>
              </w:rPr>
              <w:t>Điều 4 – Mức trích lập dự phòng cụ thể</w:t>
            </w:r>
            <w:bookmarkEnd w:id="3"/>
            <w:r w:rsidRPr="00AF7630">
              <w:rPr>
                <w:rFonts w:ascii="Times New Roman" w:hAnsi="Times New Roman" w:cs="Times New Roman"/>
                <w:sz w:val="24"/>
                <w:szCs w:val="24"/>
                <w:lang w:val="pl-PL"/>
              </w:rPr>
              <w:t xml:space="preserve"> - Khoản 4 – Điểm b</w:t>
            </w:r>
          </w:p>
          <w:p w:rsidR="00EB4681" w:rsidRPr="00AF7630" w:rsidRDefault="00EB4681"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Để các TCTD có cơ sở thực hiện thống nhất, SeABank đề xuất Ban soạn thảo bổ sung hướng dẫn cụ thể về cách xác định “thời điểm TCTD, chi nhánh ngân hàng nước ngoài có quyền xử lý tài sản bảo đảm”. Cụ thể, thời điểm này là thời điểm nào trong các cách hiểu sau đây: (1) Là thời điểm khách hàng bị quá hạn (theo quy định đây là thời điểm TCTD đã có quyền để xử lý tài sản theo các hợp đồng bảo đảm); hay (2) là thời điểm bản án, quyết định của Tòa án về quyền xử lý tài sản bảo đảm của TCTD có hiệu lực thi hành; hoặc (3) là thời điểm yêu cầu, kết thúc thi hành án…</w:t>
            </w:r>
          </w:p>
        </w:tc>
        <w:tc>
          <w:tcPr>
            <w:tcW w:w="2268" w:type="dxa"/>
          </w:tcPr>
          <w:p w:rsidR="00EB4681" w:rsidRPr="00AF7630" w:rsidRDefault="00EB4681" w:rsidP="0001557F">
            <w:pPr>
              <w:ind w:left="-108"/>
              <w:jc w:val="both"/>
              <w:rPr>
                <w:rFonts w:ascii="Times New Roman" w:hAnsi="Times New Roman" w:cs="Times New Roman"/>
                <w:sz w:val="24"/>
                <w:szCs w:val="24"/>
                <w:lang w:val="pl-PL"/>
              </w:rPr>
            </w:pPr>
            <w:r w:rsidRPr="00AF7630">
              <w:rPr>
                <w:rFonts w:ascii="Times New Roman" w:hAnsi="Times New Roman" w:cs="Times New Roman"/>
                <w:sz w:val="24"/>
                <w:szCs w:val="24"/>
                <w:lang w:val="pl-PL"/>
              </w:rPr>
              <w:t>SeABank</w:t>
            </w:r>
          </w:p>
        </w:tc>
        <w:tc>
          <w:tcPr>
            <w:tcW w:w="4677" w:type="dxa"/>
            <w:vMerge w:val="restart"/>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299 Bộ Luật Dân sự 2015 quy định rõ các trường hợp xử lý tài sản bảo đảm, theo đó, trường hợp nào xảy ra đầu tiên thì sẽ là trường hợp để xác định thời điểm TCTD có quyền xử lý tài sản bảo đảm.</w:t>
            </w:r>
          </w:p>
          <w:p w:rsidR="00EB4681" w:rsidRPr="00AF7630" w:rsidDel="007C6DEA"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w:t>
            </w:r>
          </w:p>
          <w:p w:rsidR="00EB4681" w:rsidRPr="00AF7630" w:rsidRDefault="00EB4681" w:rsidP="0001557F">
            <w:pPr>
              <w:jc w:val="both"/>
              <w:rPr>
                <w:rFonts w:ascii="Times New Roman" w:eastAsia="Times New Roman" w:hAnsi="Times New Roman" w:cs="Times New Roman"/>
                <w:sz w:val="24"/>
                <w:szCs w:val="24"/>
              </w:rPr>
            </w:pPr>
          </w:p>
        </w:tc>
      </w:tr>
      <w:tr w:rsidR="00EB4681" w:rsidRPr="00AF7630" w:rsidTr="0069372A">
        <w:tc>
          <w:tcPr>
            <w:tcW w:w="2978" w:type="dxa"/>
            <w:vMerge/>
          </w:tcPr>
          <w:p w:rsidR="00EB4681" w:rsidRPr="00AF7630" w:rsidRDefault="00EB4681" w:rsidP="0001557F">
            <w:pPr>
              <w:jc w:val="both"/>
              <w:rPr>
                <w:rFonts w:ascii="Times New Roman" w:eastAsia="Times New Roman" w:hAnsi="Times New Roman" w:cs="Times New Roman"/>
                <w:sz w:val="24"/>
                <w:szCs w:val="24"/>
              </w:rPr>
            </w:pPr>
          </w:p>
        </w:tc>
        <w:tc>
          <w:tcPr>
            <w:tcW w:w="5953" w:type="dxa"/>
          </w:tcPr>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b, Khoản 4, Điều 4, Dự thảo Nghị định:</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i/>
                <w:iCs/>
                <w:sz w:val="24"/>
                <w:szCs w:val="24"/>
              </w:rPr>
              <w:t>“4. Tài sản bảo đảm để khấu trừ khi tính số tiền dự phòng cụ thể (R) quy định tại khoản 1 Điều này phải đáp ứng các điều kiện sau:</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i/>
                <w:iCs/>
                <w:sz w:val="24"/>
                <w:szCs w:val="24"/>
              </w:rPr>
              <w:t xml:space="preserve">b) Thời gian xử lý tài sản bảo đảm theo dự kiến không quá 01 (một) năm đối với tài sản bảo đảm không phải là bất động sản và không quá 02 (hai) năm đối với tài sản bảo đảm là bất động sản, kể từ khi tổ chức tín dụng, chi nhánh ngân hàng nước ngoài có quyền xử lý tài sản bảo đảm theo </w:t>
            </w:r>
            <w:r w:rsidRPr="00AF7630">
              <w:rPr>
                <w:rFonts w:ascii="Times New Roman" w:eastAsia="Times New Roman" w:hAnsi="Times New Roman" w:cs="Times New Roman"/>
                <w:i/>
                <w:iCs/>
                <w:sz w:val="24"/>
                <w:szCs w:val="24"/>
              </w:rPr>
              <w:lastRenderedPageBreak/>
              <w:t>hợp đồng bảo đảm và theo quy định của Pháp luật;”</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Tuy nhiên, trên thực tế, việc xử lý tài sản bảo đảm của tổ chức tín dụng gặp khá nhiều khó khăn và phải thực hiện nhiều thủ tục, cũng như cần đánh giá, xác định kĩ càng giá trị tài sản bảo đảm tại thời điểm xử lý. Theo quy định tại Luật các TCTD 2024, việc xử lý tài sản bảo đảm dựa trên thỏa thuận của TCTD và khách hàng. Những điều này dẫn tới rủi ro về việc thời gian xử lý tài sản bảo đảm của tổ chức tín dụng để đáp ứng được điều kiện khấu trừ khi tính số tiền dự phòng cụ thể có thể gặp khó khăn về mặt thời gian. </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Ngoài ra, việc xác định thời gian xử lý TSBĐ dự kiến hiện nay của các TCTD là tương đối khó khăn do trên thực tế việc xử lý TSBĐ bị phụ thuộc vào nhiều yếu tố từ phía khách hàng, Bên thế chấp, bên vay không hợp tác cũng như về thủ tục hành chính về xử lý tài sản bảo đảm tại các cơ quan nhà nước như Tòa án Nhân dân, cơ quan thi hành án… thường xuyên bị kéo dài.</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Bên cạnh đó, đối với các tài sản bảo đảm chuyên dụng, như tài sản là động sản dây chuyền sản xuất xi măng hoặc tàu biển trọng tải lớn, thường cần thời gian nhiều hơn 01 năm để xử lý các tài sản này. Hoặc đối với tài sản là bất động sản có giá trị lớn rất khó tìm đối tác chuyển nhượng lại trong vòng 01-02 năm, thực tế, các tài sản này vẫn có giá trị thực.</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w:t>
            </w:r>
            <w:r w:rsidRPr="00AF7630">
              <w:rPr>
                <w:rFonts w:ascii="Times New Roman" w:eastAsia="Times New Roman" w:hAnsi="Times New Roman" w:cs="Times New Roman"/>
                <w:sz w:val="24"/>
                <w:szCs w:val="24"/>
                <w:u w:val="single"/>
              </w:rPr>
              <w:t>Kiến nghị 1:</w:t>
            </w:r>
            <w:r w:rsidRPr="00AF7630">
              <w:rPr>
                <w:rFonts w:ascii="Times New Roman" w:eastAsia="Times New Roman" w:hAnsi="Times New Roman" w:cs="Times New Roman"/>
                <w:sz w:val="24"/>
                <w:szCs w:val="24"/>
              </w:rPr>
              <w:t> đề xuất Ban soạn thảo xem xét mở rộng thời gian xử lý tài sản bảo đảm, hoặc thay đổi thời điểm bắt đầu từ khi TCTD có quyền xử lý tài sản bảo đảm theo hợp đồng bảo đảm và theo quy định pháp luật thành </w:t>
            </w:r>
            <w:r w:rsidRPr="00AF7630">
              <w:rPr>
                <w:rFonts w:ascii="Times New Roman" w:eastAsia="Times New Roman" w:hAnsi="Times New Roman" w:cs="Times New Roman"/>
                <w:b/>
                <w:bCs/>
                <w:sz w:val="24"/>
                <w:szCs w:val="24"/>
              </w:rPr>
              <w:t>“từ khi TCTD đủ điều kiện xử lý TSBĐ theo Hợp đồng bảo đảm và theo quy định pháp luật.”</w:t>
            </w:r>
          </w:p>
        </w:tc>
        <w:tc>
          <w:tcPr>
            <w:tcW w:w="2268" w:type="dxa"/>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CTTC Cổ phần Điện lực</w:t>
            </w:r>
          </w:p>
        </w:tc>
        <w:tc>
          <w:tcPr>
            <w:tcW w:w="4677" w:type="dxa"/>
            <w:vMerge/>
          </w:tcPr>
          <w:p w:rsidR="00EB4681" w:rsidRPr="00AF7630" w:rsidRDefault="00EB4681" w:rsidP="0001557F">
            <w:pPr>
              <w:jc w:val="both"/>
              <w:rPr>
                <w:rFonts w:ascii="Times New Roman" w:eastAsia="Times New Roman" w:hAnsi="Times New Roman" w:cs="Times New Roman"/>
                <w:sz w:val="24"/>
                <w:szCs w:val="24"/>
              </w:rPr>
            </w:pPr>
          </w:p>
        </w:tc>
      </w:tr>
      <w:tr w:rsidR="00EB4681" w:rsidRPr="00AF7630" w:rsidTr="0069372A">
        <w:tc>
          <w:tcPr>
            <w:tcW w:w="2978" w:type="dxa"/>
            <w:vMerge/>
          </w:tcPr>
          <w:p w:rsidR="00EB4681" w:rsidRPr="00AF7630" w:rsidRDefault="00EB4681" w:rsidP="0001557F">
            <w:pPr>
              <w:jc w:val="both"/>
              <w:rPr>
                <w:rFonts w:ascii="Times New Roman" w:eastAsia="Times New Roman" w:hAnsi="Times New Roman" w:cs="Times New Roman"/>
                <w:sz w:val="24"/>
                <w:szCs w:val="24"/>
              </w:rPr>
            </w:pPr>
          </w:p>
        </w:tc>
        <w:tc>
          <w:tcPr>
            <w:tcW w:w="5953" w:type="dxa"/>
          </w:tcPr>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b/>
                <w:bCs/>
                <w:i/>
                <w:iCs/>
                <w:sz w:val="24"/>
                <w:szCs w:val="24"/>
              </w:rPr>
              <w:t>Đề xuất:</w:t>
            </w:r>
            <w:r w:rsidRPr="00AF7630">
              <w:rPr>
                <w:rFonts w:ascii="Times New Roman" w:eastAsia="Times New Roman" w:hAnsi="Times New Roman" w:cs="Times New Roman"/>
                <w:b/>
                <w:bCs/>
                <w:sz w:val="24"/>
                <w:szCs w:val="24"/>
              </w:rPr>
              <w:t> </w:t>
            </w:r>
            <w:r w:rsidRPr="00AF7630">
              <w:rPr>
                <w:rFonts w:ascii="Times New Roman" w:eastAsia="Times New Roman" w:hAnsi="Times New Roman" w:cs="Times New Roman"/>
                <w:sz w:val="24"/>
                <w:szCs w:val="24"/>
              </w:rPr>
              <w:t>Tăng thời hạn xử lý dự kiến quy định tại Điểm b Khoản 4 Điều 4 lên 03 năm với động sản và 05 năm với bất động sản.</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b/>
                <w:bCs/>
                <w:sz w:val="24"/>
                <w:szCs w:val="24"/>
              </w:rPr>
              <w:t>-</w:t>
            </w:r>
            <w:r w:rsidRPr="00AF7630">
              <w:rPr>
                <w:rFonts w:ascii="Times New Roman" w:eastAsia="Times New Roman" w:hAnsi="Times New Roman" w:cs="Times New Roman"/>
                <w:sz w:val="24"/>
                <w:szCs w:val="24"/>
              </w:rPr>
              <w:t>     </w:t>
            </w:r>
            <w:r w:rsidRPr="00AF7630">
              <w:rPr>
                <w:rFonts w:ascii="Times New Roman" w:eastAsia="Times New Roman" w:hAnsi="Times New Roman" w:cs="Times New Roman"/>
                <w:b/>
                <w:bCs/>
                <w:i/>
                <w:iCs/>
                <w:sz w:val="24"/>
                <w:szCs w:val="24"/>
              </w:rPr>
              <w:t>Lý do đề xuất:</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Điểm b Khoản 4 Điều 4 quy định tài sản bảo đảm sẽ không được khấu trừ khi trích lập dự phòng nếu thời gian xử lý dự kiến kéo dài quá 01 năm với động sản và 02 năm với </w:t>
            </w:r>
            <w:r w:rsidRPr="00AF7630">
              <w:rPr>
                <w:rFonts w:ascii="Times New Roman" w:eastAsia="Times New Roman" w:hAnsi="Times New Roman" w:cs="Times New Roman"/>
                <w:sz w:val="24"/>
                <w:szCs w:val="24"/>
              </w:rPr>
              <w:lastRenderedPageBreak/>
              <w:t>bất động sản.</w:t>
            </w:r>
          </w:p>
          <w:p w:rsidR="00EB4681" w:rsidRPr="00AF7630" w:rsidRDefault="00EB4681"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Tuy nhiên, với thực tế xử lý tài sản bảo đảm hiện nay thì gần như chắc chắn thời gian xử lý tài sản bảo đảm của các TCTD sẽ vượt quá các mốc quy định trên. Do đó cần có sự xem xét, điều chỉnh lại thời hạn này cho phù hợp. VPBank đề xuất áp dụng thời hạn xử lý là 03 năm với động sản, 05 năm với bất động sản. Thời hạn này cũng phù hợp với quy định về thời hạn mà TCTD được nắm giữ bất động sản do xử lý nợ vay quy định tại Luật các tổ chức tín dụng 2024.</w:t>
            </w:r>
          </w:p>
        </w:tc>
        <w:tc>
          <w:tcPr>
            <w:tcW w:w="2268" w:type="dxa"/>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VPBank</w:t>
            </w:r>
          </w:p>
        </w:tc>
        <w:tc>
          <w:tcPr>
            <w:tcW w:w="4677" w:type="dxa"/>
            <w:vMerge/>
          </w:tcPr>
          <w:p w:rsidR="00EB4681" w:rsidRPr="00AF7630" w:rsidRDefault="00EB4681" w:rsidP="0001557F">
            <w:pPr>
              <w:jc w:val="both"/>
              <w:rPr>
                <w:rFonts w:ascii="Times New Roman" w:eastAsia="Times New Roman" w:hAnsi="Times New Roman" w:cs="Times New Roman"/>
                <w:sz w:val="24"/>
                <w:szCs w:val="24"/>
              </w:rPr>
            </w:pPr>
          </w:p>
        </w:tc>
      </w:tr>
      <w:tr w:rsidR="00EB4681" w:rsidRPr="00AF7630" w:rsidTr="005430DF">
        <w:trPr>
          <w:trHeight w:val="3792"/>
        </w:trPr>
        <w:tc>
          <w:tcPr>
            <w:tcW w:w="2978" w:type="dxa"/>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5 Điều 4 DTNĐ:</w:t>
            </w:r>
          </w:p>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“5</w:t>
            </w: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 xml:space="preserve">Giá trị khấu trừ của tài sản bảo đảm được xác định bằng tích số giữa giá trị tài sản bảo đảm quy định tại Điều </w:t>
            </w:r>
            <w:r w:rsidRPr="00AF7630">
              <w:rPr>
                <w:rFonts w:ascii="Times New Roman" w:eastAsia="Times New Roman" w:hAnsi="Times New Roman" w:cs="Times New Roman"/>
                <w:i/>
                <w:sz w:val="24"/>
                <w:szCs w:val="24"/>
              </w:rPr>
              <w:t>5</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 xml:space="preserve">Nghị định này </w:t>
            </w:r>
            <w:r w:rsidRPr="00AF7630">
              <w:rPr>
                <w:rFonts w:ascii="Times New Roman" w:eastAsia="Times New Roman" w:hAnsi="Times New Roman" w:cs="Times New Roman"/>
                <w:i/>
                <w:sz w:val="24"/>
                <w:szCs w:val="24"/>
                <w:lang w:val="vi-VN"/>
              </w:rPr>
              <w:t xml:space="preserve">với tỷ lệ khấu trừ đối với từng loại tài sản bảo đảm quy định tại Điều </w:t>
            </w:r>
            <w:r w:rsidRPr="00AF7630">
              <w:rPr>
                <w:rFonts w:ascii="Times New Roman" w:eastAsia="Times New Roman" w:hAnsi="Times New Roman" w:cs="Times New Roman"/>
                <w:i/>
                <w:sz w:val="24"/>
                <w:szCs w:val="24"/>
              </w:rPr>
              <w:t>6 Nghị định này</w:t>
            </w: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 xml:space="preserve">Trường hợp tài sản bảo đảm không đáp ứng các điều kiện quy định tại </w:t>
            </w:r>
            <w:r w:rsidRPr="00AF7630">
              <w:rPr>
                <w:rFonts w:ascii="Times New Roman" w:eastAsia="Times New Roman" w:hAnsi="Times New Roman" w:cs="Times New Roman"/>
                <w:i/>
                <w:sz w:val="24"/>
                <w:szCs w:val="24"/>
              </w:rPr>
              <w:t>Khoản</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3 Điều này</w:t>
            </w:r>
            <w:r w:rsidRPr="00AF7630">
              <w:rPr>
                <w:rFonts w:ascii="Times New Roman" w:eastAsia="Times New Roman" w:hAnsi="Times New Roman" w:cs="Times New Roman"/>
                <w:i/>
                <w:sz w:val="24"/>
                <w:szCs w:val="24"/>
                <w:lang w:val="vi-VN"/>
              </w:rPr>
              <w:t xml:space="preserve"> thì giá trị khấu trừ của tài sản bảo đảm đó phải coi bằng</w:t>
            </w:r>
            <w:r w:rsidRPr="00AF7630">
              <w:rPr>
                <w:rFonts w:ascii="Times New Roman" w:eastAsia="Times New Roman" w:hAnsi="Times New Roman" w:cs="Times New Roman"/>
                <w:i/>
                <w:sz w:val="24"/>
                <w:szCs w:val="24"/>
              </w:rPr>
              <w:t xml:space="preserve"> 0</w:t>
            </w:r>
            <w:r w:rsidRPr="00AF7630">
              <w:rPr>
                <w:rFonts w:ascii="Times New Roman" w:eastAsia="Times New Roman" w:hAnsi="Times New Roman" w:cs="Times New Roman"/>
                <w:i/>
                <w:sz w:val="24"/>
                <w:szCs w:val="24"/>
                <w:lang w:val="vi-VN"/>
              </w:rPr>
              <w:t> </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không</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w:t>
            </w:r>
          </w:p>
        </w:tc>
        <w:tc>
          <w:tcPr>
            <w:tcW w:w="5953" w:type="dxa"/>
          </w:tcPr>
          <w:p w:rsidR="00EB4681" w:rsidRPr="00AF7630" w:rsidRDefault="00EB4681"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Cs/>
                <w:sz w:val="24"/>
                <w:szCs w:val="24"/>
              </w:rPr>
              <w:t>Đề nghị sửa đổi</w:t>
            </w:r>
            <w:r w:rsidRPr="00AF7630">
              <w:rPr>
                <w:rFonts w:ascii="Times New Roman" w:eastAsia="Times New Roman" w:hAnsi="Times New Roman" w:cs="Times New Roman"/>
                <w:sz w:val="24"/>
                <w:szCs w:val="24"/>
              </w:rPr>
              <w:t xml:space="preserve"> : ….Trường hợp tài sản bảo đảm không đáp ứng các điều kiện  quy định tại khoản </w:t>
            </w:r>
            <w:r w:rsidRPr="00AF7630">
              <w:rPr>
                <w:rFonts w:ascii="Times New Roman" w:eastAsia="Times New Roman" w:hAnsi="Times New Roman" w:cs="Times New Roman"/>
                <w:b/>
                <w:sz w:val="24"/>
                <w:szCs w:val="24"/>
              </w:rPr>
              <w:t>4</w:t>
            </w:r>
            <w:r w:rsidRPr="00AF7630">
              <w:rPr>
                <w:rFonts w:ascii="Times New Roman" w:eastAsia="Times New Roman" w:hAnsi="Times New Roman" w:cs="Times New Roman"/>
                <w:sz w:val="24"/>
                <w:szCs w:val="24"/>
              </w:rPr>
              <w:t xml:space="preserve"> Điều này….</w:t>
            </w:r>
          </w:p>
          <w:p w:rsidR="00EB4681" w:rsidRPr="00AF7630" w:rsidRDefault="00EB4681" w:rsidP="0001557F">
            <w:pPr>
              <w:ind w:left="-108"/>
              <w:jc w:val="both"/>
              <w:rPr>
                <w:rFonts w:ascii="Times New Roman" w:eastAsia="Times New Roman" w:hAnsi="Times New Roman" w:cs="Times New Roman"/>
                <w:sz w:val="24"/>
                <w:szCs w:val="24"/>
              </w:rPr>
            </w:pPr>
          </w:p>
        </w:tc>
        <w:tc>
          <w:tcPr>
            <w:tcW w:w="2268" w:type="dxa"/>
          </w:tcPr>
          <w:p w:rsidR="00EB4681" w:rsidRPr="00AF7630" w:rsidRDefault="00EB4681" w:rsidP="005430D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Bộ Công an, NHHTX,  KEXIM VLC, Sacombank, SAIGONBANK, </w:t>
            </w:r>
            <w:r w:rsidRPr="00AF7630">
              <w:rPr>
                <w:rFonts w:ascii="Times New Roman" w:hAnsi="Times New Roman" w:cs="Times New Roman"/>
                <w:spacing w:val="-2"/>
                <w:sz w:val="24"/>
                <w:szCs w:val="24"/>
              </w:rPr>
              <w:t xml:space="preserve">Ngân hàng TMCP Quân đội, </w:t>
            </w:r>
            <w:r w:rsidRPr="00AF7630">
              <w:rPr>
                <w:rFonts w:ascii="Times New Roman" w:eastAsia="Times New Roman" w:hAnsi="Times New Roman" w:cs="Times New Roman"/>
                <w:sz w:val="24"/>
                <w:szCs w:val="24"/>
              </w:rPr>
              <w:t xml:space="preserve">Vietbank, Agribank, SeABank, </w:t>
            </w:r>
            <w:r w:rsidRPr="00AF7630">
              <w:rPr>
                <w:rFonts w:ascii="Times New Roman" w:eastAsia="Times New Roman" w:hAnsi="Times New Roman" w:cs="Times New Roman"/>
                <w:bCs/>
                <w:sz w:val="24"/>
                <w:szCs w:val="24"/>
              </w:rPr>
              <w:t xml:space="preserve">WooriBank, </w:t>
            </w:r>
            <w:r w:rsidRPr="00AF7630">
              <w:rPr>
                <w:rFonts w:ascii="Times New Roman" w:eastAsia="Times New Roman" w:hAnsi="Times New Roman" w:cs="Times New Roman"/>
                <w:sz w:val="24"/>
                <w:szCs w:val="24"/>
              </w:rPr>
              <w:t>CTCTTC TNHH MTV Quốc Tế Chailease, GPBa</w:t>
            </w:r>
            <w:r w:rsidR="005430DF">
              <w:rPr>
                <w:rFonts w:ascii="Times New Roman" w:eastAsia="Times New Roman" w:hAnsi="Times New Roman" w:cs="Times New Roman"/>
                <w:sz w:val="24"/>
                <w:szCs w:val="24"/>
              </w:rPr>
              <w:t>nk, MSB, VCB,</w:t>
            </w:r>
          </w:p>
        </w:tc>
        <w:tc>
          <w:tcPr>
            <w:tcW w:w="4677" w:type="dxa"/>
          </w:tcPr>
          <w:p w:rsidR="00EB4681" w:rsidRPr="00AF7630" w:rsidRDefault="00EB4681"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Tiếp thu, </w:t>
            </w:r>
            <w:r w:rsidRPr="00AF7630">
              <w:rPr>
                <w:rFonts w:ascii="Times New Roman" w:eastAsia="Times New Roman" w:hAnsi="Times New Roman" w:cs="Times New Roman"/>
                <w:sz w:val="24"/>
                <w:szCs w:val="24"/>
              </w:rPr>
              <w:t>chỉnh sửa trích dẫn</w:t>
            </w:r>
          </w:p>
        </w:tc>
      </w:tr>
      <w:tr w:rsidR="005430DF" w:rsidRPr="00AF7630" w:rsidTr="0069372A">
        <w:tc>
          <w:tcPr>
            <w:tcW w:w="2978" w:type="dxa"/>
          </w:tcPr>
          <w:p w:rsidR="005430DF" w:rsidRPr="00AF7630" w:rsidRDefault="005430DF" w:rsidP="0001557F">
            <w:pPr>
              <w:jc w:val="both"/>
              <w:rPr>
                <w:rFonts w:ascii="Times New Roman" w:eastAsia="Times New Roman" w:hAnsi="Times New Roman" w:cs="Times New Roman"/>
                <w:sz w:val="24"/>
                <w:szCs w:val="24"/>
                <w:lang w:val="vi-VN"/>
              </w:rPr>
            </w:pPr>
            <w:r w:rsidRPr="00AF7630">
              <w:rPr>
                <w:rFonts w:ascii="Times New Roman" w:eastAsia="Times New Roman" w:hAnsi="Times New Roman" w:cs="Times New Roman"/>
                <w:sz w:val="24"/>
                <w:szCs w:val="24"/>
                <w:lang w:val="vi-VN"/>
              </w:rPr>
              <w:t>Khoản 7 Điều 4 DTNĐ:</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 xml:space="preserve">7. </w:t>
            </w:r>
            <w:r w:rsidRPr="00AF7630">
              <w:rPr>
                <w:rFonts w:ascii="Times New Roman" w:eastAsia="Times New Roman" w:hAnsi="Times New Roman" w:cs="Times New Roman"/>
                <w:i/>
                <w:sz w:val="24"/>
                <w:szCs w:val="24"/>
                <w:lang w:val="vi-VN"/>
              </w:rPr>
              <w:t xml:space="preserve">Ngân hàng thương mại, tổ chức tín dụng phi ngân hàng trong thời gian triển khai phương án cơ cấu lại, hợp nhất, sáp nhập theo Đề án cơ cấu lại hệ thống các tổ chức tín dụng gắn với xử lý nợ xấu được Thủ tướng Chính phủ phê duyệt, có khó khăn về tài chính báo cáo Ngân hàng Nhà nước xem </w:t>
            </w:r>
            <w:r w:rsidRPr="00AF7630">
              <w:rPr>
                <w:rFonts w:ascii="Times New Roman" w:eastAsia="Times New Roman" w:hAnsi="Times New Roman" w:cs="Times New Roman"/>
                <w:i/>
                <w:sz w:val="24"/>
                <w:szCs w:val="24"/>
                <w:lang w:val="vi-VN"/>
              </w:rPr>
              <w:lastRenderedPageBreak/>
              <w:t>xét, quyết định việc trích lập dự phòng rủi ro; trường hợp số tiền phải trích lập dự phòng rủi ro lớn hơn chênh lệch thu chi từ kết quả kinh doanh hằng năm chưa bao gồm số tiền dự phòng rủi ro đã tạm trích trong năm thì số tiền trích lập dự phòng rủi ro bằng chênh lệch thu chi và tổ chức tín dụng phải theo dõi số tiền phải trích lập dự phòng rủi ro đầy đủ theo quy định tại Nghị định này.</w:t>
            </w:r>
          </w:p>
        </w:tc>
        <w:tc>
          <w:tcPr>
            <w:tcW w:w="5953" w:type="dxa"/>
          </w:tcPr>
          <w:p w:rsidR="005430DF" w:rsidRPr="00AF7630" w:rsidRDefault="005430DF" w:rsidP="00224E76">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lastRenderedPageBreak/>
              <w:t>Kho</w:t>
            </w:r>
            <w:r w:rsidRPr="007802F9">
              <w:rPr>
                <w:rFonts w:ascii="Times New Roman" w:eastAsia="Times New Roman" w:hAnsi="Times New Roman" w:cs="Times New Roman"/>
                <w:bCs/>
                <w:iCs/>
                <w:sz w:val="24"/>
                <w:szCs w:val="24"/>
                <w:highlight w:val="green"/>
              </w:rPr>
              <w:t>ản 7 quy định về trường họp số tiền phải trích lập dự phòng rủi ro bằng chênh lệch thu chi thì cần có hướng dẫn cụ thể về cơ chế phân bổ tỷ lệ trích lập dự</w:t>
            </w:r>
            <w:r w:rsidRPr="00AF7630">
              <w:rPr>
                <w:rFonts w:ascii="Times New Roman" w:eastAsia="Times New Roman" w:hAnsi="Times New Roman" w:cs="Times New Roman"/>
                <w:bCs/>
                <w:iCs/>
                <w:sz w:val="24"/>
                <w:szCs w:val="24"/>
              </w:rPr>
              <w:t xml:space="preserve"> phòng rủi ro vào tài sản có phù họp đế tránh tình trạng không thống nhất về tỷ lệ trích lập dự phòng rủi ro giữa các khoản mục tài sản có và giữa các khoản cho vay có cùng nhóm nợ.</w:t>
            </w:r>
          </w:p>
        </w:tc>
        <w:tc>
          <w:tcPr>
            <w:tcW w:w="2268" w:type="dxa"/>
          </w:tcPr>
          <w:p w:rsidR="005430DF" w:rsidRPr="00AF7630" w:rsidRDefault="005430DF" w:rsidP="00224E76">
            <w:pPr>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Bộ Công an</w:t>
            </w:r>
          </w:p>
        </w:tc>
        <w:tc>
          <w:tcPr>
            <w:tcW w:w="4677" w:type="dxa"/>
            <w:vMerge w:val="restart"/>
          </w:tcPr>
          <w:p w:rsidR="005430DF" w:rsidRPr="00AF7630" w:rsidRDefault="005430DF" w:rsidP="00224E7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Điểm a khoản 2 Điều 159 và khoản 1 Điều 166 Luật các TCTD và khoản 7 Điều 4 dự thảo Nghị định quy định: </w:t>
            </w:r>
            <w:r w:rsidRPr="00AF7630">
              <w:rPr>
                <w:rFonts w:ascii="Times New Roman" w:eastAsia="Times New Roman" w:hAnsi="Times New Roman" w:cs="Times New Roman"/>
                <w:i/>
                <w:sz w:val="24"/>
                <w:szCs w:val="24"/>
              </w:rPr>
              <w:t>“Trường hợp số tiền phải trích lập dự phòng rủi ro lớn hơn chênh lệch thu chi từ kết quả kinh doanh hằng năm chưa bao gồm số tiền dự phòng rủi ro đã tạm trích trong năm thì số tiền trích lập dự phòng rủi ro bằng chênh lệch thu chi;”</w:t>
            </w:r>
          </w:p>
          <w:p w:rsidR="005430DF" w:rsidRPr="00AF7630" w:rsidRDefault="005430DF" w:rsidP="00224E7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Theo đó, tại thời điểm cuối năm tài chính, TCTD xác định số tiền trích lập dự phòng rủi ro bằng chênh lệch thu chi và phản ánh số tiền trích lập dự phòng trên Báo cáo tài chính của </w:t>
            </w:r>
            <w:r w:rsidRPr="00AF7630">
              <w:rPr>
                <w:rFonts w:ascii="Times New Roman" w:eastAsia="Times New Roman" w:hAnsi="Times New Roman" w:cs="Times New Roman"/>
                <w:sz w:val="24"/>
                <w:szCs w:val="24"/>
              </w:rPr>
              <w:lastRenderedPageBreak/>
              <w:t>năm tài chính đó.</w:t>
            </w:r>
          </w:p>
          <w:p w:rsidR="005430DF" w:rsidRPr="00AF7630" w:rsidRDefault="005430DF" w:rsidP="00224E76">
            <w:pPr>
              <w:jc w:val="both"/>
              <w:rPr>
                <w:rFonts w:ascii="Times New Roman" w:eastAsia="Times New Roman" w:hAnsi="Times New Roman" w:cs="Times New Roman"/>
                <w:sz w:val="24"/>
                <w:szCs w:val="24"/>
              </w:rPr>
            </w:pPr>
          </w:p>
        </w:tc>
      </w:tr>
      <w:tr w:rsidR="005430DF" w:rsidRPr="00AF7630" w:rsidTr="0069372A">
        <w:tc>
          <w:tcPr>
            <w:tcW w:w="297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9 Điều 4 DTNĐ:</w:t>
            </w:r>
          </w:p>
          <w:p w:rsidR="005430DF" w:rsidRPr="00AF7630" w:rsidRDefault="005430DF"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“9. Tổ chức tín dụng được kiểm soát đặc biệt thực hiện trích lập dự phòng rủi ro theo quy định tại khoản 1 Điều 166 Luật Các tổ chức tín dụng.”</w:t>
            </w:r>
          </w:p>
        </w:tc>
        <w:tc>
          <w:tcPr>
            <w:tcW w:w="5953" w:type="dxa"/>
          </w:tcPr>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Dự thảo Nghị định đang dẫn chiếu theo quy định tại khoản 1 Điều 166 Luật Các TCTD, theo đó đối với TCTD đang được kiểm soát đặc biệt, thì số tiền trích lập dự phòng rủi ro bằng chênh lệch thu chi. Như vậy, OceanBank đang hiểu là hàng tháng TCTD vẫn thực hiện trích lập dự phòng theo quy định, đến thời điểm cuối năm so sánh tổng số tiền phải trích lập trong năm (bao gồm cả số tiền đã trích lập dự phòng) với chênh lệch thu chi từ kết quả kinh doanh (chưa bao gồm số tiền dự phòng rủi ro đã trích trong năm) để thực hiện trích bổ sung hoặc hoàn nhập dự phòng. Vậy số tiền trích bổ sung/hoàn nhập tính trên khoản nợ nào? Thực hiện chia đều tỷ lệ cho từng khoản nợ hay phân bổ vào một vài khoản nợ? OceanBank kính đề nghị NHNN có hướng dẫn chi tiết, cụ thể các trường hợp để OceanBank cũng như các TCTD được kiểm soát đặc biệt áp dụng.</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OceanBank</w:t>
            </w:r>
          </w:p>
        </w:tc>
        <w:tc>
          <w:tcPr>
            <w:tcW w:w="4677" w:type="dxa"/>
            <w:vMerge/>
          </w:tcPr>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5 DTNĐ</w:t>
            </w:r>
          </w:p>
        </w:tc>
        <w:tc>
          <w:tcPr>
            <w:tcW w:w="5953" w:type="dxa"/>
          </w:tcPr>
          <w:p w:rsidR="005430DF" w:rsidRPr="00AF7630" w:rsidRDefault="005430DF" w:rsidP="0001557F">
            <w:pPr>
              <w:tabs>
                <w:tab w:val="left" w:pos="630"/>
                <w:tab w:val="left" w:pos="720"/>
              </w:tabs>
              <w:contextualSpacing/>
              <w:jc w:val="both"/>
              <w:rPr>
                <w:rFonts w:ascii="Times New Roman" w:hAnsi="Times New Roman" w:cs="Times New Roman"/>
                <w:b/>
                <w:sz w:val="24"/>
                <w:szCs w:val="24"/>
              </w:rPr>
            </w:pPr>
            <w:r w:rsidRPr="00AF7630">
              <w:rPr>
                <w:rFonts w:ascii="Times New Roman" w:hAnsi="Times New Roman" w:cs="Times New Roman"/>
                <w:bCs/>
                <w:sz w:val="24"/>
                <w:szCs w:val="24"/>
              </w:rPr>
              <w:t xml:space="preserve">Tại Khoản 1,2,3,4,5,6 Điều 5 DTNĐ quy định giá trị TSBĐ để tính khấu trừ khi trích lập dự phòng rủi ro tại </w:t>
            </w:r>
            <w:r w:rsidRPr="00AF7630">
              <w:rPr>
                <w:rFonts w:ascii="Times New Roman" w:hAnsi="Times New Roman" w:cs="Times New Roman"/>
                <w:b/>
                <w:sz w:val="24"/>
                <w:szCs w:val="24"/>
              </w:rPr>
              <w:t>“</w:t>
            </w:r>
            <w:r w:rsidRPr="00AF7630">
              <w:rPr>
                <w:rFonts w:ascii="Times New Roman" w:hAnsi="Times New Roman" w:cs="Times New Roman"/>
                <w:bCs/>
                <w:i/>
                <w:iCs/>
                <w:sz w:val="24"/>
                <w:szCs w:val="24"/>
              </w:rPr>
              <w:t>Ngày gần nhất có giao dịch/ ngày giao dịch liền kề ngày trích lập dự phòng cụ thể”</w:t>
            </w:r>
            <w:r w:rsidRPr="00AF7630">
              <w:rPr>
                <w:rFonts w:ascii="Times New Roman" w:hAnsi="Times New Roman" w:cs="Times New Roman"/>
                <w:bCs/>
                <w:sz w:val="24"/>
                <w:szCs w:val="24"/>
              </w:rPr>
              <w:t xml:space="preserve">, khi đó </w:t>
            </w:r>
            <w:r w:rsidRPr="00AF7630">
              <w:rPr>
                <w:rFonts w:ascii="Times New Roman" w:hAnsi="Times New Roman" w:cs="Times New Roman"/>
                <w:bCs/>
                <w:i/>
                <w:sz w:val="24"/>
                <w:szCs w:val="24"/>
              </w:rPr>
              <w:t>“ngày trích lập dự phòng cụ thể”</w:t>
            </w:r>
            <w:r w:rsidRPr="00AF7630">
              <w:rPr>
                <w:rFonts w:ascii="Times New Roman" w:hAnsi="Times New Roman" w:cs="Times New Roman"/>
                <w:bCs/>
                <w:sz w:val="24"/>
                <w:szCs w:val="24"/>
              </w:rPr>
              <w:t xml:space="preserve"> có thể hiểu là ngày hạch toán dự phòng (5 hoặc 10 tháng sau). Đề xuất điều chỉnh </w:t>
            </w:r>
            <w:r w:rsidRPr="00AF7630">
              <w:rPr>
                <w:rFonts w:ascii="Times New Roman" w:hAnsi="Times New Roman" w:cs="Times New Roman"/>
                <w:bCs/>
                <w:i/>
                <w:sz w:val="24"/>
                <w:szCs w:val="24"/>
              </w:rPr>
              <w:t>“…ngày trích lập dự phòng cụ thể”</w:t>
            </w:r>
            <w:r w:rsidRPr="00AF7630">
              <w:rPr>
                <w:rFonts w:ascii="Times New Roman" w:hAnsi="Times New Roman" w:cs="Times New Roman"/>
                <w:bCs/>
                <w:sz w:val="24"/>
                <w:szCs w:val="24"/>
              </w:rPr>
              <w:t xml:space="preserve"> thành </w:t>
            </w:r>
            <w:r w:rsidRPr="00AF7630">
              <w:rPr>
                <w:rFonts w:ascii="Times New Roman" w:hAnsi="Times New Roman" w:cs="Times New Roman"/>
                <w:bCs/>
                <w:i/>
                <w:sz w:val="24"/>
                <w:szCs w:val="24"/>
              </w:rPr>
              <w:t xml:space="preserve">“ngày cuối cùng của tháng trước </w:t>
            </w:r>
            <w:r w:rsidRPr="00AF7630">
              <w:rPr>
                <w:rFonts w:ascii="Times New Roman" w:hAnsi="Times New Roman" w:cs="Times New Roman"/>
                <w:bCs/>
                <w:i/>
                <w:sz w:val="24"/>
                <w:szCs w:val="24"/>
              </w:rPr>
              <w:lastRenderedPageBreak/>
              <w:t>liền kề”</w:t>
            </w:r>
            <w:r w:rsidRPr="00AF7630">
              <w:rPr>
                <w:rFonts w:ascii="Times New Roman" w:hAnsi="Times New Roman" w:cs="Times New Roman"/>
                <w:bCs/>
                <w:sz w:val="24"/>
                <w:szCs w:val="24"/>
              </w:rPr>
              <w:t xml:space="preserve"> để thống nhất thời gian sử dụng dữ liệu tính toán trích lập dự phòng.</w:t>
            </w:r>
          </w:p>
        </w:tc>
        <w:tc>
          <w:tcPr>
            <w:tcW w:w="2268" w:type="dxa"/>
          </w:tcPr>
          <w:p w:rsidR="005430DF" w:rsidRPr="00AF7630" w:rsidRDefault="005430DF" w:rsidP="0001557F">
            <w:pPr>
              <w:tabs>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rPr>
              <w:lastRenderedPageBreak/>
              <w:t>Quân đội</w:t>
            </w:r>
          </w:p>
        </w:tc>
        <w:tc>
          <w:tcPr>
            <w:tcW w:w="4677"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"Ngày trích lập dự phòng cụ thể" tại Dự thảo Nghị định được hiểu là ngày hạch toán số tiền trích lập dự phòng cụ thể.</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tabs>
                <w:tab w:val="left" w:pos="630"/>
                <w:tab w:val="left" w:pos="720"/>
              </w:tabs>
              <w:contextualSpacing/>
              <w:jc w:val="both"/>
              <w:rPr>
                <w:rFonts w:ascii="Times New Roman" w:hAnsi="Times New Roman" w:cs="Times New Roman"/>
                <w:bCs/>
                <w:sz w:val="24"/>
                <w:szCs w:val="24"/>
              </w:rPr>
            </w:pPr>
            <w:r w:rsidRPr="00AF7630">
              <w:rPr>
                <w:rFonts w:ascii="Times New Roman" w:eastAsia="Times New Roman" w:hAnsi="Times New Roman" w:cs="Times New Roman"/>
                <w:sz w:val="24"/>
                <w:szCs w:val="24"/>
              </w:rPr>
              <w:t>Đề nghị bổ sung khái niệm: "Ngày trích lập dự phòng cụ thể"? Là ngày chốt dữ liệu để tính toán số trích lập dự phòng (là thời điểm cuối tháng/quý) hay là thời điểm hạch toán số trích lập dự phòng cụ thể vào cân đối kế toán của các TCTD hay là ngày phê duyệt kết quả PLN, trích lập DPCT của các TCTD?</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vMerge/>
          </w:tcPr>
          <w:p w:rsidR="005430DF" w:rsidRPr="00AF7630" w:rsidRDefault="005430DF" w:rsidP="0001557F">
            <w:pPr>
              <w:jc w:val="both"/>
              <w:rPr>
                <w:rFonts w:ascii="Times New Roman" w:eastAsia="Times New Roman" w:hAnsi="Times New Roman" w:cs="Times New Roman"/>
                <w:b/>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tabs>
                <w:tab w:val="left" w:pos="630"/>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rPr>
              <w:t>Đề xuất NHNN xem xét thay đổi quy định từ Khoản 1 đến Khoản 7 Điều 5 DTNĐ theo hướng không quy định chi tiết nguyên tắc và tần suất xác định giá trị TSBĐ để khấu trừ mà chỉ quy định như điểm b khoản 8 Điều 5 của DTTT để các TCTD chủ động thực hiện, đảm bảo tính hợp lý của giá trị TSBĐ cho mục đích cấp tín dụng và tính thận trọng khi trích lập dự phòng rủi ro.</w:t>
            </w:r>
          </w:p>
        </w:tc>
        <w:tc>
          <w:tcPr>
            <w:tcW w:w="2268" w:type="dxa"/>
          </w:tcPr>
          <w:p w:rsidR="005430DF" w:rsidRPr="00AF7630" w:rsidRDefault="005430DF" w:rsidP="0001557F">
            <w:pPr>
              <w:tabs>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rPr>
              <w:t>VCB</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Các tài sản bảo đảm từ khoản 1 đến khoản 7 là các tài sản có thể xác định theo giá trị thị trường hoặc có các nguyên tắc cụ thể để xác định giá trị.</w:t>
            </w:r>
          </w:p>
          <w:p w:rsidR="005430DF" w:rsidRPr="00AF7630" w:rsidRDefault="005430DF"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Do vậy, cần quy định cụ thể để đảm bảo tính thống nhất trong quá trình thực hiện.</w:t>
            </w:r>
          </w:p>
        </w:tc>
      </w:tr>
      <w:tr w:rsidR="00993F15" w:rsidRPr="00AF7630" w:rsidTr="0063522C">
        <w:trPr>
          <w:trHeight w:val="6899"/>
        </w:trPr>
        <w:tc>
          <w:tcPr>
            <w:tcW w:w="2978" w:type="dxa"/>
          </w:tcPr>
          <w:p w:rsidR="00993F15" w:rsidRPr="00AF7630" w:rsidRDefault="00993F1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2 Điều 5 DTNĐ:</w:t>
            </w:r>
          </w:p>
          <w:p w:rsidR="00993F15" w:rsidRPr="00AF7630" w:rsidRDefault="00993F1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“2.</w:t>
            </w:r>
            <w:r w:rsidRPr="00AF7630">
              <w:rPr>
                <w:rFonts w:ascii="Times New Roman" w:eastAsia="Times New Roman" w:hAnsi="Times New Roman" w:cs="Times New Roman"/>
                <w:i/>
                <w:sz w:val="24"/>
                <w:szCs w:val="24"/>
                <w:lang w:val="vi-VN"/>
              </w:rPr>
              <w:t xml:space="preserve"> Chứng khoán đã niêm yết (bao gồm cả cổ phiếu, chứng chỉ quỹ, chứng khoán phái sinh, chứng quyền có bảo</w:t>
            </w:r>
            <w:r w:rsidRPr="00AF7630">
              <w:rPr>
                <w:rFonts w:ascii="Times New Roman" w:eastAsia="Times New Roman" w:hAnsi="Times New Roman" w:cs="Times New Roman"/>
                <w:i/>
                <w:sz w:val="24"/>
                <w:szCs w:val="24"/>
              </w:rPr>
              <w:t xml:space="preserve"> đảm</w:t>
            </w:r>
            <w:r w:rsidRPr="00AF7630">
              <w:rPr>
                <w:rFonts w:ascii="Times New Roman" w:eastAsia="Times New Roman" w:hAnsi="Times New Roman" w:cs="Times New Roman"/>
                <w:i/>
                <w:sz w:val="24"/>
                <w:szCs w:val="24"/>
                <w:lang w:val="vi-VN"/>
              </w:rPr>
              <w:t xml:space="preserve"> đã niêm yết): Giá đóng cửa tại ngày gần nhất có giao dịch trước ngày trích lập dự phòng cụ thể. Trường hợp chứng khoán đã niêm yết trên thị trường mà không có giao dịch trong vòng 30</w:t>
            </w:r>
            <w:r w:rsidRPr="00AF7630">
              <w:rPr>
                <w:rFonts w:ascii="Times New Roman" w:eastAsia="Times New Roman" w:hAnsi="Times New Roman" w:cs="Times New Roman"/>
                <w:i/>
                <w:sz w:val="24"/>
                <w:szCs w:val="24"/>
              </w:rPr>
              <w:t xml:space="preserve"> (ba mươi)</w:t>
            </w:r>
            <w:r w:rsidRPr="00AF7630">
              <w:rPr>
                <w:rFonts w:ascii="Times New Roman" w:eastAsia="Times New Roman" w:hAnsi="Times New Roman" w:cs="Times New Roman"/>
                <w:i/>
                <w:sz w:val="24"/>
                <w:szCs w:val="24"/>
                <w:lang w:val="vi-VN"/>
              </w:rPr>
              <w:t xml:space="preserve"> ngày trước ngày trích lập dự phòng</w:t>
            </w:r>
            <w:r w:rsidRPr="00AF7630">
              <w:rPr>
                <w:rFonts w:ascii="Times New Roman" w:eastAsia="Times New Roman" w:hAnsi="Times New Roman" w:cs="Times New Roman"/>
                <w:i/>
                <w:sz w:val="24"/>
                <w:szCs w:val="24"/>
              </w:rPr>
              <w:t xml:space="preserve"> cụ thể</w:t>
            </w:r>
            <w:r w:rsidRPr="00AF7630">
              <w:rPr>
                <w:rFonts w:ascii="Times New Roman" w:eastAsia="Times New Roman" w:hAnsi="Times New Roman" w:cs="Times New Roman"/>
                <w:i/>
                <w:sz w:val="24"/>
                <w:szCs w:val="24"/>
                <w:lang w:val="vi-VN"/>
              </w:rPr>
              <w:t xml:space="preserve"> và trường hợp tại ngày trích lập dự phòng</w:t>
            </w:r>
            <w:r w:rsidRPr="00AF7630">
              <w:rPr>
                <w:rFonts w:ascii="Times New Roman" w:eastAsia="Times New Roman" w:hAnsi="Times New Roman" w:cs="Times New Roman"/>
                <w:i/>
                <w:sz w:val="24"/>
                <w:szCs w:val="24"/>
              </w:rPr>
              <w:t xml:space="preserve"> cụ thể</w:t>
            </w:r>
            <w:r w:rsidRPr="00AF7630">
              <w:rPr>
                <w:rFonts w:ascii="Times New Roman" w:eastAsia="Times New Roman" w:hAnsi="Times New Roman" w:cs="Times New Roman"/>
                <w:i/>
                <w:sz w:val="24"/>
                <w:szCs w:val="24"/>
                <w:lang w:val="vi-VN"/>
              </w:rPr>
              <w:t>, chứng khoán bị hủy niêm yết hoặc bị đình chỉ giao dịch hoặc bị ngừng giao dịch, thì tổ chức tín dụng, chi nhánh ngân hàng</w:t>
            </w:r>
            <w:r w:rsidRPr="00AF7630">
              <w:rPr>
                <w:rFonts w:ascii="Times New Roman" w:eastAsia="Times New Roman" w:hAnsi="Times New Roman" w:cs="Times New Roman"/>
                <w:i/>
                <w:sz w:val="24"/>
                <w:szCs w:val="24"/>
              </w:rPr>
              <w:t xml:space="preserve"> nước ngoài</w:t>
            </w:r>
            <w:r w:rsidRPr="00AF7630">
              <w:rPr>
                <w:rFonts w:ascii="Times New Roman" w:eastAsia="Times New Roman" w:hAnsi="Times New Roman" w:cs="Times New Roman"/>
                <w:i/>
                <w:sz w:val="24"/>
                <w:szCs w:val="24"/>
                <w:lang w:val="vi-VN"/>
              </w:rPr>
              <w:t xml:space="preserve"> xác định giá trị tài sản bảo đảm theo quy định tại Khoản </w:t>
            </w:r>
            <w:r w:rsidRPr="00AF7630">
              <w:rPr>
                <w:rFonts w:ascii="Times New Roman" w:eastAsia="Times New Roman" w:hAnsi="Times New Roman" w:cs="Times New Roman"/>
                <w:i/>
                <w:sz w:val="24"/>
                <w:szCs w:val="24"/>
              </w:rPr>
              <w:t xml:space="preserve">6 Điều </w:t>
            </w:r>
            <w:r w:rsidRPr="00AF7630">
              <w:rPr>
                <w:rFonts w:ascii="Times New Roman" w:eastAsia="Times New Roman" w:hAnsi="Times New Roman" w:cs="Times New Roman"/>
                <w:i/>
                <w:sz w:val="24"/>
                <w:szCs w:val="24"/>
                <w:lang w:val="vi-VN"/>
              </w:rPr>
              <w:t>này;</w:t>
            </w:r>
            <w:r w:rsidRPr="00AF7630">
              <w:rPr>
                <w:rFonts w:ascii="Times New Roman" w:eastAsia="Times New Roman" w:hAnsi="Times New Roman" w:cs="Times New Roman"/>
                <w:i/>
                <w:sz w:val="24"/>
                <w:szCs w:val="24"/>
              </w:rPr>
              <w:t>”</w:t>
            </w:r>
          </w:p>
        </w:tc>
        <w:tc>
          <w:tcPr>
            <w:tcW w:w="5953" w:type="dxa"/>
          </w:tcPr>
          <w:p w:rsidR="00993F15" w:rsidRPr="00AF7630" w:rsidRDefault="00993F15" w:rsidP="0001557F">
            <w:pPr>
              <w:jc w:val="both"/>
              <w:rPr>
                <w:rFonts w:ascii="Times New Roman" w:hAnsi="Times New Roman" w:cs="Times New Roman"/>
                <w:sz w:val="24"/>
                <w:szCs w:val="24"/>
              </w:rPr>
            </w:pPr>
            <w:r w:rsidRPr="00AF7630">
              <w:rPr>
                <w:rFonts w:ascii="Times New Roman" w:hAnsi="Times New Roman" w:cs="Times New Roman"/>
                <w:sz w:val="24"/>
                <w:szCs w:val="24"/>
              </w:rPr>
              <w:t>Theo quy định tại Điều 9 của Dự thảo Nghị định, trong 05 ngày làm việc đầu tiên của tháng, tổ chức tín dụng sẽ phải thực hiện trích lập dự phòng căn cứ theo kết quả phân loại nợ của ngày cuối cùng của tháng trước liền kề. Như vậy, trường hợp “ngày trích lập dự phòng cụ thể” được hiểu là ngày thực hiện trích lập (trong vòng 05 ngày làm việc đầu tiên của tháng) thì sẽ có tổ chức tín dụng thực hiện sớm hơn hoặc trễ hơn, thời điểm tham chiếu khác nhau.</w:t>
            </w:r>
          </w:p>
          <w:p w:rsidR="00993F15" w:rsidRPr="00AF7630" w:rsidRDefault="00993F15" w:rsidP="0001557F">
            <w:pPr>
              <w:jc w:val="both"/>
              <w:rPr>
                <w:rFonts w:ascii="Times New Roman" w:eastAsia="Times New Roman" w:hAnsi="Times New Roman" w:cs="Times New Roman"/>
                <w:bCs/>
                <w:sz w:val="24"/>
                <w:szCs w:val="24"/>
              </w:rPr>
            </w:pPr>
            <w:r w:rsidRPr="00AF7630">
              <w:rPr>
                <w:rFonts w:ascii="Times New Roman" w:hAnsi="Times New Roman" w:cs="Times New Roman"/>
                <w:sz w:val="24"/>
                <w:szCs w:val="24"/>
              </w:rPr>
              <w:t>Do đó, Vietbank kính đề xuất NHNN xem xét điều chỉnh nội dung “ngày trích lập dự phòng cụ thể” thành “ngày chốt số liệu thực hiện phân loại nợ” nhằm quy định rõ hơn và thống nhất về thời điểm để làm căn cứ tham chiếu xác định giá trị TSBĐ.</w:t>
            </w:r>
          </w:p>
        </w:tc>
        <w:tc>
          <w:tcPr>
            <w:tcW w:w="2268" w:type="dxa"/>
          </w:tcPr>
          <w:p w:rsidR="00993F15" w:rsidRPr="00AF7630" w:rsidRDefault="00993F15">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Vietbank</w:t>
            </w:r>
          </w:p>
        </w:tc>
        <w:tc>
          <w:tcPr>
            <w:tcW w:w="4677" w:type="dxa"/>
          </w:tcPr>
          <w:p w:rsidR="00993F15" w:rsidRPr="00AF7630" w:rsidRDefault="00993F15">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"Ngày trích lập dự phòng cụ thể" tại Dự thảo Nghị định được hiểu là ngày hạch toán số tiền trích lập dự phòng cụ thể.</w:t>
            </w:r>
          </w:p>
        </w:tc>
      </w:tr>
      <w:tr w:rsidR="005430DF" w:rsidRPr="00AF7630" w:rsidTr="0069372A">
        <w:tc>
          <w:tcPr>
            <w:tcW w:w="2978"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4, 5 Điều 5 DTNĐ:</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“4. Trái phiếu Chính phủ được niêm yết trên Sở giao dịch chứng khoán: Giá bình quân các mức giá giao dịch trong phiên chào giá cam kết chắc chắn theo quy định của Chính phủ về phát hành, đăng ký, lưu ký, niêm yết và giao dịch công cụ nợ của Chính phủ trên thị trường chứng khoán; các </w:t>
            </w:r>
            <w:r w:rsidRPr="00AF7630">
              <w:rPr>
                <w:rFonts w:ascii="Times New Roman" w:eastAsia="Times New Roman" w:hAnsi="Times New Roman" w:cs="Times New Roman"/>
                <w:i/>
                <w:sz w:val="24"/>
                <w:szCs w:val="24"/>
                <w:lang w:val="vi-VN"/>
              </w:rPr>
              <w:lastRenderedPageBreak/>
              <w:t>văn bản hướng dẫn của Bộ Tài chính và các văn bản sửa đổi, bổ sung hoặc thay thế (nếu có). Trường hợp không có mức giá giao dịch trong phiên chào giá cam kết chắc chắn nêu trên, giá trái phiếu để tính khấu trừ là bình quân các mức giá giao dịch trên thị trường thứ cấp trong vòng 10 (mười) ngày làm việc gần nhất tính đến thời điểm trích lập dự phòng cụ thể. Trường hợp không có giao dịch trong vòng 10 (mười) ngày làm việc gần nhất tính đến thời điểm trích lập dự phòng cụ thể thì tổ chức tín dụng, chi nhánh ngân hàng nước ngoài xác định giá trị tài sản bảo đảm theo mệnh giá;</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 xml:space="preserve">5. Trái phiếu chính quyền địa phương, trái phiếu Chính phủ bảo lãnh và trái phiếu doanh nghiệp (kể cả tổ chức tín dụng) đã niêm yết, đăng ký giao dịch: Giá bình quân các mức giá giao dịch trên thị trường thứ cấp trong vòng 10 (mười) ngày làm việc gần nhất trước ngày trích lập dự phòng cụ thể do Sở Giao dịch chứng khoán công bố. Trường hợp không có giao dịch trong vòng 10 (mười) ngày tính </w:t>
            </w:r>
            <w:r w:rsidRPr="00AF7630">
              <w:rPr>
                <w:rFonts w:ascii="Times New Roman" w:eastAsia="Times New Roman" w:hAnsi="Times New Roman" w:cs="Times New Roman"/>
                <w:i/>
                <w:sz w:val="24"/>
                <w:szCs w:val="24"/>
                <w:lang w:val="vi-VN"/>
              </w:rPr>
              <w:lastRenderedPageBreak/>
              <w:t>đến ngày trích lập dự phòng cụ thể thì tổ chức tín dụng, chi nhánh ngân hàng nước ngoài xác định giá trị tài sản bảo đảm theo mệnh giá;”</w:t>
            </w:r>
          </w:p>
        </w:tc>
        <w:tc>
          <w:tcPr>
            <w:tcW w:w="5953" w:type="dxa"/>
          </w:tcPr>
          <w:p w:rsidR="005430DF" w:rsidRPr="00AF7630" w:rsidRDefault="005430DF">
            <w:pPr>
              <w:pStyle w:val="Header"/>
              <w:tabs>
                <w:tab w:val="clear" w:pos="4320"/>
                <w:tab w:val="clear" w:pos="8640"/>
              </w:tabs>
              <w:jc w:val="both"/>
              <w:rPr>
                <w:rFonts w:ascii="Times New Roman" w:eastAsia="Arial Unicode MS" w:hAnsi="Times New Roman"/>
                <w:sz w:val="24"/>
                <w:szCs w:val="24"/>
              </w:rPr>
            </w:pPr>
            <w:r w:rsidRPr="00AF7630">
              <w:rPr>
                <w:rFonts w:ascii="Times New Roman" w:eastAsia="Arial Unicode MS" w:hAnsi="Times New Roman"/>
                <w:sz w:val="24"/>
                <w:szCs w:val="24"/>
                <w:lang w:val="en-US"/>
              </w:rPr>
              <w:lastRenderedPageBreak/>
              <w:t>Vietbank kính đề xuất</w:t>
            </w:r>
            <w:r w:rsidRPr="00AF7630">
              <w:rPr>
                <w:rFonts w:ascii="Times New Roman" w:eastAsia="Arial Unicode MS" w:hAnsi="Times New Roman"/>
                <w:sz w:val="24"/>
                <w:szCs w:val="24"/>
              </w:rPr>
              <w:t xml:space="preserve"> NHNN </w:t>
            </w:r>
            <w:r w:rsidRPr="00AF7630">
              <w:rPr>
                <w:rFonts w:ascii="Times New Roman" w:eastAsia="Arial Unicode MS" w:hAnsi="Times New Roman"/>
                <w:sz w:val="24"/>
                <w:szCs w:val="24"/>
                <w:lang w:val="en-US"/>
              </w:rPr>
              <w:t xml:space="preserve">xem xét </w:t>
            </w:r>
            <w:r w:rsidRPr="00AF7630">
              <w:rPr>
                <w:rFonts w:ascii="Times New Roman" w:eastAsia="Arial Unicode MS" w:hAnsi="Times New Roman"/>
                <w:sz w:val="24"/>
                <w:szCs w:val="24"/>
              </w:rPr>
              <w:t>điều chỉnh nội dung khoản 4, 5 Điều 5 thành như sau:</w:t>
            </w:r>
          </w:p>
          <w:p w:rsidR="005430DF" w:rsidRPr="00AF7630" w:rsidRDefault="005430DF">
            <w:pPr>
              <w:pStyle w:val="Header"/>
              <w:jc w:val="both"/>
              <w:rPr>
                <w:rFonts w:ascii="Times New Roman" w:eastAsia="Arial Unicode MS" w:hAnsi="Times New Roman"/>
                <w:i/>
                <w:sz w:val="24"/>
                <w:szCs w:val="24"/>
              </w:rPr>
            </w:pPr>
            <w:r w:rsidRPr="00AF7630">
              <w:rPr>
                <w:rFonts w:ascii="Times New Roman" w:eastAsia="Arial Unicode MS" w:hAnsi="Times New Roman"/>
                <w:sz w:val="24"/>
                <w:szCs w:val="24"/>
              </w:rPr>
              <w:t>“</w:t>
            </w:r>
            <w:r w:rsidRPr="00AF7630">
              <w:rPr>
                <w:rFonts w:ascii="Times New Roman" w:eastAsia="Arial Unicode MS" w:hAnsi="Times New Roman"/>
                <w:i/>
                <w:sz w:val="24"/>
                <w:szCs w:val="24"/>
              </w:rPr>
              <w:t xml:space="preserve">4. </w:t>
            </w:r>
            <w:r w:rsidRPr="00AF7630">
              <w:rPr>
                <w:rFonts w:ascii="Times New Roman" w:eastAsia="Arial Unicode MS" w:hAnsi="Times New Roman"/>
                <w:i/>
                <w:sz w:val="24"/>
                <w:szCs w:val="24"/>
                <w:lang w:val="en-US"/>
              </w:rPr>
              <w:t>..</w:t>
            </w:r>
            <w:r w:rsidRPr="00AF7630">
              <w:rPr>
                <w:rFonts w:ascii="Times New Roman" w:eastAsia="Arial Unicode MS" w:hAnsi="Times New Roman"/>
                <w:i/>
                <w:sz w:val="24"/>
                <w:szCs w:val="24"/>
              </w:rPr>
              <w:t xml:space="preserve">. Trường hợp không có giao dịch trong vòng 10 (mười) ngày làm việc gần nhất </w:t>
            </w:r>
            <w:r w:rsidRPr="00AF7630">
              <w:rPr>
                <w:rFonts w:ascii="Times New Roman" w:eastAsia="Arial Unicode MS" w:hAnsi="Times New Roman"/>
                <w:i/>
                <w:sz w:val="24"/>
                <w:szCs w:val="24"/>
                <w:u w:val="single"/>
              </w:rPr>
              <w:t>hoặc không có niêm yết chưa đủ 10 ngày làm việc</w:t>
            </w:r>
            <w:r w:rsidRPr="00AF7630">
              <w:rPr>
                <w:rFonts w:ascii="Times New Roman" w:eastAsia="Arial Unicode MS" w:hAnsi="Times New Roman"/>
                <w:i/>
                <w:sz w:val="24"/>
                <w:szCs w:val="24"/>
              </w:rPr>
              <w:t xml:space="preserve"> tính đến thời điểm trích lập dự phòng cụ thể thì tổ chức tín dụng, chi nhánh ngân hàng nước ngoài xác định giá trị tài sản bảo đảm theo mệnh giá;</w:t>
            </w:r>
          </w:p>
          <w:p w:rsidR="005430DF" w:rsidRPr="00AF7630" w:rsidRDefault="005430DF">
            <w:pPr>
              <w:pStyle w:val="Header"/>
              <w:tabs>
                <w:tab w:val="clear" w:pos="4320"/>
                <w:tab w:val="clear" w:pos="8640"/>
              </w:tabs>
              <w:jc w:val="both"/>
              <w:rPr>
                <w:rFonts w:ascii="Times New Roman" w:eastAsia="Arial Unicode MS" w:hAnsi="Times New Roman"/>
                <w:sz w:val="24"/>
                <w:szCs w:val="24"/>
              </w:rPr>
            </w:pPr>
            <w:r w:rsidRPr="00AF7630">
              <w:rPr>
                <w:rFonts w:ascii="Times New Roman" w:eastAsia="Arial Unicode MS" w:hAnsi="Times New Roman"/>
                <w:i/>
                <w:sz w:val="24"/>
                <w:szCs w:val="24"/>
              </w:rPr>
              <w:t xml:space="preserve">5. </w:t>
            </w:r>
            <w:r w:rsidRPr="00AF7630">
              <w:rPr>
                <w:rFonts w:ascii="Times New Roman" w:eastAsia="Arial Unicode MS" w:hAnsi="Times New Roman"/>
                <w:i/>
                <w:sz w:val="24"/>
                <w:szCs w:val="24"/>
                <w:lang w:val="en-US"/>
              </w:rPr>
              <w:t>…</w:t>
            </w:r>
            <w:r w:rsidRPr="00AF7630">
              <w:rPr>
                <w:rFonts w:ascii="Times New Roman" w:eastAsia="Arial Unicode MS" w:hAnsi="Times New Roman"/>
                <w:i/>
                <w:sz w:val="24"/>
                <w:szCs w:val="24"/>
              </w:rPr>
              <w:t xml:space="preserve">. Trường hợp không có giao dịch trong vòng 10 (mười) ngày </w:t>
            </w:r>
            <w:r w:rsidRPr="00AF7630">
              <w:rPr>
                <w:rFonts w:ascii="Times New Roman" w:eastAsia="Arial Unicode MS" w:hAnsi="Times New Roman"/>
                <w:i/>
                <w:sz w:val="24"/>
                <w:szCs w:val="24"/>
                <w:u w:val="single"/>
              </w:rPr>
              <w:t>làm việc gần nhất hoặc không có niêm yết chưa đủ 10 ngày làm việc</w:t>
            </w:r>
            <w:r w:rsidRPr="00AF7630">
              <w:rPr>
                <w:rFonts w:ascii="Times New Roman" w:eastAsia="Arial Unicode MS" w:hAnsi="Times New Roman"/>
                <w:i/>
                <w:sz w:val="24"/>
                <w:szCs w:val="24"/>
              </w:rPr>
              <w:t xml:space="preserve"> tính đến ngày trích lập dự phòng cụ thể thì tổ chức tín dụng, chi nhánh ngân hàng nước ngoài xác định giá trị tài sản bảo đảm theo mệnh giá;”</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Arial Unicode MS" w:hAnsi="Times New Roman" w:cs="Times New Roman"/>
                <w:sz w:val="24"/>
                <w:szCs w:val="24"/>
              </w:rPr>
              <w:t>Vietbank</w:t>
            </w:r>
          </w:p>
        </w:tc>
        <w:tc>
          <w:tcPr>
            <w:tcW w:w="4677"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tại Dự thảo Nghị định phù hợp với các quy định của Chính phủ, hướng dẫn của Bộ Tài chính liên quan đến trái phiếu Chính phủ.</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Dự thảo Nghị định giữ nguyên quy định này.</w:t>
            </w:r>
          </w:p>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tabs>
                <w:tab w:val="left" w:pos="630"/>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lang w:val="vi-VN"/>
              </w:rPr>
              <w:t xml:space="preserve">Giá TPCP được niêm yết được hướng dẫn là </w:t>
            </w:r>
            <w:r w:rsidRPr="00AF7630">
              <w:rPr>
                <w:rFonts w:ascii="Times New Roman" w:hAnsi="Times New Roman" w:cs="Times New Roman"/>
                <w:bCs/>
                <w:sz w:val="24"/>
                <w:szCs w:val="24"/>
              </w:rPr>
              <w:t>g</w:t>
            </w:r>
            <w:r w:rsidRPr="00AF7630">
              <w:rPr>
                <w:rFonts w:ascii="Times New Roman" w:hAnsi="Times New Roman" w:cs="Times New Roman"/>
                <w:bCs/>
                <w:sz w:val="24"/>
                <w:szCs w:val="24"/>
                <w:lang w:val="vi-VN"/>
              </w:rPr>
              <w:t xml:space="preserve">iá bình quân các mức giá giao dịch trong </w:t>
            </w:r>
            <w:r w:rsidRPr="00AF7630">
              <w:rPr>
                <w:rFonts w:ascii="Times New Roman" w:hAnsi="Times New Roman" w:cs="Times New Roman"/>
                <w:bCs/>
                <w:sz w:val="24"/>
                <w:szCs w:val="24"/>
                <w:u w:val="single"/>
                <w:lang w:val="vi-VN"/>
              </w:rPr>
              <w:t>phiên chào giá cam kết chắc chắn</w:t>
            </w:r>
            <w:r w:rsidRPr="00AF7630">
              <w:rPr>
                <w:rFonts w:ascii="Times New Roman" w:hAnsi="Times New Roman" w:cs="Times New Roman"/>
                <w:bCs/>
                <w:sz w:val="24"/>
                <w:szCs w:val="24"/>
                <w:lang w:val="vi-VN"/>
              </w:rPr>
              <w:t xml:space="preserve"> theo quy định của Chính phủ</w:t>
            </w:r>
            <w:r w:rsidRPr="00AF7630">
              <w:rPr>
                <w:rFonts w:ascii="Times New Roman" w:hAnsi="Times New Roman" w:cs="Times New Roman"/>
                <w:sz w:val="24"/>
                <w:szCs w:val="24"/>
                <w:lang w:val="vi-VN"/>
              </w:rPr>
              <w:t xml:space="preserve"> về phát hành, đăng ký, lưu ký, niêm yết và giao dịch công cụ nợ của Chính phủ trên thị trường chứng khoán. Đề nghị NHNN hướng dẫn rõ hơn về</w:t>
            </w:r>
            <w:r w:rsidRPr="00AF7630">
              <w:rPr>
                <w:rFonts w:ascii="Times New Roman" w:hAnsi="Times New Roman" w:cs="Times New Roman"/>
                <w:sz w:val="24"/>
                <w:szCs w:val="24"/>
              </w:rPr>
              <w:t xml:space="preserve"> cách xác định</w:t>
            </w:r>
            <w:r w:rsidRPr="00AF7630">
              <w:rPr>
                <w:rFonts w:ascii="Times New Roman" w:hAnsi="Times New Roman" w:cs="Times New Roman"/>
                <w:sz w:val="24"/>
                <w:szCs w:val="24"/>
                <w:lang w:val="vi-VN"/>
              </w:rPr>
              <w:t xml:space="preserve"> thời điểm tham chiếu giá</w:t>
            </w:r>
            <w:r w:rsidRPr="00AF7630">
              <w:rPr>
                <w:rFonts w:ascii="Times New Roman" w:hAnsi="Times New Roman" w:cs="Times New Roman"/>
                <w:sz w:val="24"/>
                <w:szCs w:val="24"/>
              </w:rPr>
              <w:t xml:space="preserve"> có cam kết chắc chắn</w:t>
            </w:r>
            <w:r w:rsidRPr="00AF7630">
              <w:rPr>
                <w:rFonts w:ascii="Times New Roman" w:hAnsi="Times New Roman" w:cs="Times New Roman"/>
                <w:sz w:val="24"/>
                <w:szCs w:val="24"/>
                <w:lang w:val="vi-VN"/>
              </w:rPr>
              <w:t xml:space="preserve"> trong trường hợp này.</w:t>
            </w:r>
          </w:p>
        </w:tc>
        <w:tc>
          <w:tcPr>
            <w:tcW w:w="2268" w:type="dxa"/>
          </w:tcPr>
          <w:p w:rsidR="005430DF" w:rsidRPr="00AF7630" w:rsidRDefault="005430DF" w:rsidP="0001557F">
            <w:pPr>
              <w:tabs>
                <w:tab w:val="left" w:pos="630"/>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rPr>
              <w:t>Quân đội</w:t>
            </w:r>
          </w:p>
        </w:tc>
        <w:tc>
          <w:tcPr>
            <w:tcW w:w="4677" w:type="dxa"/>
            <w:vMerge/>
          </w:tcPr>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pPr>
              <w:pStyle w:val="Header"/>
              <w:tabs>
                <w:tab w:val="clear" w:pos="4320"/>
                <w:tab w:val="clear" w:pos="8640"/>
              </w:tabs>
              <w:jc w:val="both"/>
              <w:rPr>
                <w:rFonts w:ascii="Times New Roman" w:eastAsia="Arial Unicode MS" w:hAnsi="Times New Roman"/>
                <w:sz w:val="24"/>
                <w:szCs w:val="24"/>
                <w:lang w:val="en-US"/>
              </w:rPr>
            </w:pPr>
            <w:r w:rsidRPr="00AF7630">
              <w:rPr>
                <w:rFonts w:ascii="Times New Roman" w:eastAsia="Arial Unicode MS" w:hAnsi="Times New Roman"/>
                <w:sz w:val="24"/>
                <w:szCs w:val="24"/>
                <w:lang w:val="en-US"/>
              </w:rPr>
              <w:t xml:space="preserve">Nội dung tại khoản 4, 5 Điều này cơ bản kế thừa quy định tại Thông tư 11/2021/TT-NHNN. </w:t>
            </w:r>
          </w:p>
          <w:p w:rsidR="005430DF" w:rsidRPr="00AF7630" w:rsidRDefault="005430DF">
            <w:pPr>
              <w:pStyle w:val="Header"/>
              <w:tabs>
                <w:tab w:val="clear" w:pos="4320"/>
                <w:tab w:val="clear" w:pos="8640"/>
              </w:tabs>
              <w:jc w:val="both"/>
              <w:rPr>
                <w:rFonts w:ascii="Times New Roman" w:eastAsia="Arial Unicode MS" w:hAnsi="Times New Roman"/>
                <w:i/>
                <w:sz w:val="24"/>
                <w:szCs w:val="24"/>
                <w:lang w:val="en-US"/>
              </w:rPr>
            </w:pPr>
            <w:r w:rsidRPr="00AF7630">
              <w:rPr>
                <w:rFonts w:ascii="Times New Roman" w:eastAsia="Arial Unicode MS" w:hAnsi="Times New Roman"/>
                <w:sz w:val="24"/>
                <w:szCs w:val="24"/>
                <w:lang w:val="en-US"/>
              </w:rPr>
              <w:t xml:space="preserve">Năm 2022, Bộ TC ban hành Thông tư 24/2022/TT-BTC sửa đổi, bổ sung Thông tư </w:t>
            </w:r>
            <w:hyperlink r:id="rId11" w:tgtFrame="_blank" w:tooltip="Thông tư 48/2019/TT-BTC" w:history="1">
              <w:r w:rsidRPr="00AF7630">
                <w:rPr>
                  <w:rFonts w:ascii="Times New Roman" w:eastAsia="Arial Unicode MS" w:hAnsi="Times New Roman"/>
                  <w:sz w:val="24"/>
                  <w:szCs w:val="24"/>
                  <w:lang w:val="en-US"/>
                </w:rPr>
                <w:t>48/2019/TT-BTC</w:t>
              </w:r>
            </w:hyperlink>
            <w:r w:rsidRPr="00AF7630">
              <w:rPr>
                <w:rFonts w:ascii="Times New Roman" w:eastAsia="Arial Unicode MS" w:hAnsi="Times New Roman"/>
                <w:sz w:val="24"/>
                <w:szCs w:val="24"/>
                <w:lang w:val="en-US"/>
              </w:rPr>
              <w:t xml:space="preserve"> quy đinh đối tượng lập dự phòng không bao gồm trái phiếu Chính phủ, trái phiếu được Chính phủ bảo lãnh, trái phiếu chính quyền địa phương (</w:t>
            </w:r>
            <w:bookmarkStart w:id="4" w:name="khoan_1_1"/>
            <w:r w:rsidRPr="00AF7630">
              <w:rPr>
                <w:rFonts w:ascii="Times New Roman" w:eastAsia="Arial Unicode MS" w:hAnsi="Times New Roman"/>
                <w:sz w:val="24"/>
                <w:szCs w:val="24"/>
                <w:lang w:val="en-US"/>
              </w:rPr>
              <w:t>1. Sửa đổi, bổ sung</w:t>
            </w:r>
            <w:bookmarkEnd w:id="4"/>
            <w:r w:rsidRPr="00AF7630">
              <w:rPr>
                <w:rFonts w:ascii="Times New Roman" w:eastAsia="Arial Unicode MS" w:hAnsi="Times New Roman"/>
                <w:sz w:val="24"/>
                <w:szCs w:val="24"/>
                <w:lang w:val="en-US"/>
              </w:rPr>
              <w:t> </w:t>
            </w:r>
            <w:bookmarkStart w:id="5" w:name="dc_1"/>
            <w:r w:rsidRPr="00AF7630">
              <w:rPr>
                <w:rFonts w:ascii="Times New Roman" w:eastAsia="Arial Unicode MS" w:hAnsi="Times New Roman"/>
                <w:sz w:val="24"/>
                <w:szCs w:val="24"/>
                <w:lang w:val="en-US"/>
              </w:rPr>
              <w:t>điểm a khoản 1 Điều 5</w:t>
            </w:r>
            <w:bookmarkEnd w:id="5"/>
            <w:r w:rsidRPr="00AF7630">
              <w:rPr>
                <w:rFonts w:ascii="Times New Roman" w:eastAsia="Arial Unicode MS" w:hAnsi="Times New Roman"/>
                <w:sz w:val="24"/>
                <w:szCs w:val="24"/>
                <w:lang w:val="en-US"/>
              </w:rPr>
              <w:t> </w:t>
            </w:r>
            <w:bookmarkStart w:id="6" w:name="khoan_1_1_name"/>
            <w:r w:rsidRPr="00AF7630">
              <w:rPr>
                <w:rFonts w:ascii="Times New Roman" w:eastAsia="Arial Unicode MS" w:hAnsi="Times New Roman"/>
                <w:sz w:val="24"/>
                <w:szCs w:val="24"/>
                <w:lang w:val="en-US"/>
              </w:rPr>
              <w:t>như sau:</w:t>
            </w:r>
            <w:bookmarkEnd w:id="6"/>
            <w:r w:rsidRPr="00AF7630">
              <w:rPr>
                <w:rFonts w:ascii="Times New Roman" w:eastAsia="Arial Unicode MS" w:hAnsi="Times New Roman"/>
                <w:sz w:val="24"/>
                <w:szCs w:val="24"/>
                <w:lang w:val="en-US"/>
              </w:rPr>
              <w:t xml:space="preserve"> </w:t>
            </w:r>
            <w:r w:rsidRPr="00AF7630">
              <w:rPr>
                <w:rFonts w:ascii="Times New Roman" w:eastAsia="Arial Unicode MS" w:hAnsi="Times New Roman"/>
                <w:i/>
                <w:sz w:val="24"/>
                <w:szCs w:val="24"/>
                <w:lang w:val="en-US"/>
              </w:rPr>
              <w:t>“a) Đối tượng lập dự phòng là các loại chứng khoán do các tổ chức kinh tế trong nước phát hành theo quy định của pháp luật, thuộc sở hữu của doanh nghiệp, đang được niêm yết hoặc đăng ký giao dịch trên thị trường chứng khoán trong nước, được tự do mua bán trên thị trường và giá chứng khoán thực tế trên thị trường tại thời điểm lập báo cáo tài chính năm thấp hơn giá trị của khoản đầu tư chứng khoán đang hạch toán trên sổ kế toán. Đối tượng lập dự phòng nêu trên không bao gồm trái phiếu Chính phủ, trái phiếu được Chính phủ bảo lãnh, trái phiếu chính quyền địa phương”).</w:t>
            </w:r>
          </w:p>
          <w:p w:rsidR="005430DF" w:rsidRPr="00AF7630" w:rsidRDefault="005430DF">
            <w:pPr>
              <w:pStyle w:val="Header"/>
              <w:tabs>
                <w:tab w:val="clear" w:pos="4320"/>
                <w:tab w:val="clear" w:pos="8640"/>
              </w:tabs>
              <w:jc w:val="both"/>
              <w:rPr>
                <w:rFonts w:ascii="Times New Roman" w:eastAsia="Arial Unicode MS" w:hAnsi="Times New Roman"/>
                <w:sz w:val="24"/>
                <w:szCs w:val="24"/>
                <w:lang w:val="en-US"/>
              </w:rPr>
            </w:pPr>
            <w:r w:rsidRPr="00AF7630">
              <w:rPr>
                <w:rFonts w:ascii="Times New Roman" w:eastAsia="Arial Unicode MS" w:hAnsi="Times New Roman"/>
                <w:sz w:val="24"/>
                <w:szCs w:val="24"/>
                <w:lang w:val="en-US"/>
              </w:rPr>
              <w:t xml:space="preserve">Về mặt thực tế kinh doanh thì TPCP là loại mà chủ yếu các ngân hàng thương mại dùng cho mục đích tài sản lỏng, có thể dùng cầm cố với NHNN nên việc dự phòng là không cần. </w:t>
            </w:r>
          </w:p>
          <w:p w:rsidR="005430DF" w:rsidRPr="00AF7630" w:rsidRDefault="005430DF">
            <w:pPr>
              <w:pStyle w:val="Header"/>
              <w:tabs>
                <w:tab w:val="clear" w:pos="4320"/>
                <w:tab w:val="clear" w:pos="8640"/>
              </w:tabs>
              <w:jc w:val="both"/>
              <w:rPr>
                <w:rFonts w:ascii="Times New Roman" w:eastAsia="Arial Unicode MS" w:hAnsi="Times New Roman"/>
                <w:sz w:val="24"/>
                <w:szCs w:val="24"/>
                <w:lang w:val="en-US"/>
              </w:rPr>
            </w:pPr>
            <w:r w:rsidRPr="00AF7630">
              <w:rPr>
                <w:rFonts w:ascii="Times New Roman" w:eastAsia="Arial Unicode MS" w:hAnsi="Times New Roman"/>
                <w:sz w:val="24"/>
                <w:szCs w:val="24"/>
                <w:lang w:val="en-US"/>
              </w:rPr>
              <w:t>Đề nghị cơ quan chủ trì cân nhắc bỏ nội dung tại khoản 4, 5 Điều 5 dự thảo.</w:t>
            </w:r>
          </w:p>
        </w:tc>
        <w:tc>
          <w:tcPr>
            <w:tcW w:w="2268" w:type="dxa"/>
          </w:tcPr>
          <w:p w:rsidR="005430DF" w:rsidRPr="00AF7630" w:rsidRDefault="005430DF">
            <w:pPr>
              <w:pStyle w:val="Header"/>
              <w:tabs>
                <w:tab w:val="clear" w:pos="4320"/>
                <w:tab w:val="clear" w:pos="8640"/>
              </w:tabs>
              <w:jc w:val="both"/>
              <w:rPr>
                <w:rFonts w:ascii="Times New Roman" w:eastAsia="Arial Unicode MS" w:hAnsi="Times New Roman"/>
                <w:sz w:val="24"/>
                <w:szCs w:val="24"/>
                <w:lang w:val="en-US"/>
              </w:rPr>
            </w:pPr>
            <w:r w:rsidRPr="00AF7630">
              <w:rPr>
                <w:rFonts w:ascii="Times New Roman" w:eastAsia="Arial Unicode MS" w:hAnsi="Times New Roman"/>
                <w:sz w:val="24"/>
                <w:szCs w:val="24"/>
                <w:lang w:val="en-US"/>
              </w:rPr>
              <w:t>Techcombank</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trái phiếu chính phủ là TSBĐ để tính khấu trừ khi trích lập dự phòng rủi ro cho khoản nợ, không phải trích dự phòng cho trái phiếu chính phủ.</w:t>
            </w:r>
          </w:p>
        </w:tc>
      </w:tr>
      <w:tr w:rsidR="005430DF" w:rsidRPr="00AF7630" w:rsidTr="0069372A">
        <w:tc>
          <w:tcPr>
            <w:tcW w:w="297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6 Điều 5 DTNĐ:</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“6.</w:t>
            </w:r>
            <w:r w:rsidRPr="00AF7630">
              <w:rPr>
                <w:rFonts w:ascii="Times New Roman" w:eastAsia="Times New Roman" w:hAnsi="Times New Roman" w:cs="Times New Roman"/>
                <w:i/>
                <w:sz w:val="24"/>
                <w:szCs w:val="24"/>
                <w:lang w:val="vi-VN"/>
              </w:rPr>
              <w:t xml:space="preserve"> Chứng khoán chưa được niêm yết trên Sở giao dịch chứng khoán, chứng chỉ tiền gửi do doanh nghiệp (kể cả tổ chức tín dụng, chi nhánh ngân hàng nước ngoài) phát hành: tính theo mệnh giá.</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Trường hợp tại thời điểm trích lập dự phòng cụ thể</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 giá trị vốn chủ sở hữu thấp hơn giá trị vốn đầu tư thực tế của các chủ sở hữu ở tổ chức phát hành thì giá trị tài sản bảo đảm được xác định như sau:</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Mệnh giá chứng khoán, giấy tờ có giá nhân (x)</w:t>
            </w:r>
            <w:r w:rsidRPr="00AF7630">
              <w:rPr>
                <w:rFonts w:ascii="Times New Roman" w:eastAsia="Times New Roman" w:hAnsi="Times New Roman" w:cs="Times New Roman"/>
                <w:i/>
                <w:sz w:val="24"/>
                <w:szCs w:val="24"/>
              </w:rPr>
              <w:t xml:space="preserve"> với</w:t>
            </w:r>
            <w:r w:rsidRPr="00AF7630">
              <w:rPr>
                <w:rFonts w:ascii="Times New Roman" w:eastAsia="Times New Roman" w:hAnsi="Times New Roman" w:cs="Times New Roman"/>
                <w:i/>
                <w:sz w:val="24"/>
                <w:szCs w:val="24"/>
                <w:lang w:val="vi-VN"/>
              </w:rPr>
              <w:t xml:space="preserve"> vốn chủ sở hữu của tổ chức phát hành chia (:)</w:t>
            </w:r>
            <w:r w:rsidRPr="00AF7630">
              <w:rPr>
                <w:rFonts w:ascii="Times New Roman" w:eastAsia="Times New Roman" w:hAnsi="Times New Roman" w:cs="Times New Roman"/>
                <w:i/>
                <w:sz w:val="24"/>
                <w:szCs w:val="24"/>
              </w:rPr>
              <w:t xml:space="preserve"> cho</w:t>
            </w:r>
            <w:r w:rsidRPr="00AF7630">
              <w:rPr>
                <w:rFonts w:ascii="Times New Roman" w:eastAsia="Times New Roman" w:hAnsi="Times New Roman" w:cs="Times New Roman"/>
                <w:i/>
                <w:sz w:val="24"/>
                <w:szCs w:val="24"/>
                <w:lang w:val="vi-VN"/>
              </w:rPr>
              <w:t xml:space="preserve"> vốn đầu tư thực tế của các chủ sở hữu ở tổ chức phát hành.</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Trong đó: Vốn đầu tư thực tế của các chủ sở hữu ở tổ chức phát hành và vốn chủ sở hữu của tổ chức phát hành được xác định trên Bảng cân đối kế toán kỳ gần nhất trước ngày trích lập dự phòng cụ thể theo quy định của Bộ Tài chính hướng dẫn </w:t>
            </w:r>
            <w:r w:rsidRPr="00AF7630">
              <w:rPr>
                <w:rFonts w:ascii="Times New Roman" w:eastAsia="Times New Roman" w:hAnsi="Times New Roman" w:cs="Times New Roman"/>
                <w:i/>
                <w:sz w:val="24"/>
                <w:szCs w:val="24"/>
                <w:lang w:val="vi-VN"/>
              </w:rPr>
              <w:lastRenderedPageBreak/>
              <w:t>chế độ kế toán doanh nghiệp.</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 xml:space="preserve">Trường hợp vốn chủ sở hữu của tổ chức phát hành âm, giá trị tài sản bảo đảm để khấu trừ (Ci) phải coi bằng </w:t>
            </w:r>
            <w:r w:rsidRPr="00AF7630">
              <w:rPr>
                <w:rFonts w:ascii="Times New Roman" w:eastAsia="Times New Roman" w:hAnsi="Times New Roman" w:cs="Times New Roman"/>
                <w:i/>
                <w:sz w:val="24"/>
                <w:szCs w:val="24"/>
              </w:rPr>
              <w:t>0 (</w:t>
            </w:r>
            <w:r w:rsidRPr="00AF7630">
              <w:rPr>
                <w:rFonts w:ascii="Times New Roman" w:eastAsia="Times New Roman" w:hAnsi="Times New Roman" w:cs="Times New Roman"/>
                <w:i/>
                <w:sz w:val="24"/>
                <w:szCs w:val="24"/>
                <w:lang w:val="vi-VN"/>
              </w:rPr>
              <w:t>không</w:t>
            </w:r>
            <w:r w:rsidRPr="00AF7630">
              <w:rPr>
                <w:rFonts w:ascii="Times New Roman" w:eastAsia="Times New Roman" w:hAnsi="Times New Roman" w:cs="Times New Roman"/>
                <w:i/>
                <w:sz w:val="24"/>
                <w:szCs w:val="24"/>
              </w:rPr>
              <w:t>);”</w:t>
            </w:r>
          </w:p>
        </w:tc>
        <w:tc>
          <w:tcPr>
            <w:tcW w:w="5953" w:type="dxa"/>
          </w:tcPr>
          <w:p w:rsidR="005430DF" w:rsidRPr="00AF7630" w:rsidRDefault="005430DF" w:rsidP="00844781">
            <w:pPr>
              <w:tabs>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rPr>
              <w:lastRenderedPageBreak/>
              <w:t>Đề xuất dự thảo làm rõ dữ liệu sử dụng báo cáo tài chính nào?báo cáo tài chính kiểm toán hay báo cáo tài chính thuế?Kỳ báo cáo theo năm hay theo quý?Việc xác định giá trị vốn chủ sở hữu thấp hơn giá trị vốn đầu tư thực tế của các chủ sở hữu ở tổ chức phát hành rất phức tạp đối với các TCTD có tệp KH lớn, đề xuất áp dụng tỷ lệ nhất định cho tình huống này phù hợp với thực tiễn vận hành.</w:t>
            </w:r>
          </w:p>
          <w:p w:rsidR="005430DF" w:rsidRPr="00AF7630" w:rsidRDefault="005430DF" w:rsidP="0001557F">
            <w:pPr>
              <w:ind w:firstLine="360"/>
              <w:rPr>
                <w:rFonts w:ascii="Times New Roman" w:hAnsi="Times New Roman" w:cs="Times New Roman"/>
                <w:bCs/>
                <w:sz w:val="24"/>
                <w:szCs w:val="24"/>
              </w:rPr>
            </w:pPr>
          </w:p>
        </w:tc>
        <w:tc>
          <w:tcPr>
            <w:tcW w:w="2268" w:type="dxa"/>
          </w:tcPr>
          <w:p w:rsidR="005430DF" w:rsidRPr="00AF7630" w:rsidRDefault="005430DF" w:rsidP="0001557F">
            <w:pPr>
              <w:tabs>
                <w:tab w:val="left" w:pos="720"/>
              </w:tabs>
              <w:contextualSpacing/>
              <w:jc w:val="both"/>
              <w:rPr>
                <w:rFonts w:ascii="Times New Roman" w:hAnsi="Times New Roman" w:cs="Times New Roman"/>
                <w:bCs/>
                <w:sz w:val="24"/>
                <w:szCs w:val="24"/>
              </w:rPr>
            </w:pPr>
            <w:r w:rsidRPr="00AF7630">
              <w:rPr>
                <w:rFonts w:ascii="Times New Roman" w:hAnsi="Times New Roman" w:cs="Times New Roman"/>
                <w:bCs/>
                <w:sz w:val="24"/>
                <w:szCs w:val="24"/>
              </w:rPr>
              <w:t>Quân đội</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tại Dự thảo Nghị định phù hợp với các quy định của pháp luật về chứng khoán, hướng dẫn của Bộ Tài chính về chế độ kế toán doanh nghiệp.</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vốn đầu tư thực tế được xác định trên Bảng cân đối kế toán kỳ gần nhất trước ngày trích lập dự phòng cụ thể theo quy định của Bộ Tài chính hướng dẫn chế độ kế toán doanh nghiệp.</w:t>
            </w:r>
          </w:p>
        </w:tc>
      </w:tr>
      <w:tr w:rsidR="005430DF" w:rsidRPr="00AF7630" w:rsidTr="0069372A">
        <w:tc>
          <w:tcPr>
            <w:tcW w:w="297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7 Điều 5 DTNĐ:</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“7.</w:t>
            </w:r>
            <w:r w:rsidRPr="00AF7630">
              <w:rPr>
                <w:rFonts w:ascii="Times New Roman" w:eastAsia="Times New Roman" w:hAnsi="Times New Roman" w:cs="Times New Roman"/>
                <w:i/>
                <w:sz w:val="24"/>
                <w:szCs w:val="24"/>
                <w:lang w:val="vi-VN"/>
              </w:rPr>
              <w:t xml:space="preserve"> Tài sản cho thuê tài chính: Giá trị của tài sản cho thuê tài chính được định giá theo quy định tại điểm h </w:t>
            </w:r>
            <w:r w:rsidRPr="00AF7630">
              <w:rPr>
                <w:rFonts w:ascii="Times New Roman" w:eastAsia="Times New Roman" w:hAnsi="Times New Roman" w:cs="Times New Roman"/>
                <w:i/>
                <w:sz w:val="24"/>
                <w:szCs w:val="24"/>
              </w:rPr>
              <w:t>Khoản</w:t>
            </w:r>
            <w:r w:rsidRPr="00AF7630">
              <w:rPr>
                <w:rFonts w:ascii="Times New Roman" w:eastAsia="Times New Roman" w:hAnsi="Times New Roman" w:cs="Times New Roman"/>
                <w:i/>
                <w:sz w:val="24"/>
                <w:szCs w:val="24"/>
                <w:lang w:val="vi-VN"/>
              </w:rPr>
              <w:t xml:space="preserve"> này hoặc giá trị còn lại của tài sản cho thuê tài chính theo thời gian cho thuê được tính bằng công thức:</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Giá trị tài sản cho thuê tài chính chia (:) cho thời gian cho thuê theo hợp đồng nhân (x)</w:t>
            </w:r>
            <w:r w:rsidRPr="00AF7630">
              <w:rPr>
                <w:rFonts w:ascii="Times New Roman" w:eastAsia="Times New Roman" w:hAnsi="Times New Roman" w:cs="Times New Roman"/>
                <w:i/>
                <w:sz w:val="24"/>
                <w:szCs w:val="24"/>
              </w:rPr>
              <w:t xml:space="preserve"> với</w:t>
            </w:r>
            <w:r w:rsidRPr="00AF7630">
              <w:rPr>
                <w:rFonts w:ascii="Times New Roman" w:eastAsia="Times New Roman" w:hAnsi="Times New Roman" w:cs="Times New Roman"/>
                <w:i/>
                <w:sz w:val="24"/>
                <w:szCs w:val="24"/>
                <w:lang w:val="vi-VN"/>
              </w:rPr>
              <w:t xml:space="preserve"> thời gian thuê còn lại theo hợp đồng</w:t>
            </w:r>
            <w:r w:rsidRPr="00AF7630">
              <w:rPr>
                <w:rFonts w:ascii="Times New Roman" w:eastAsia="Times New Roman" w:hAnsi="Times New Roman" w:cs="Times New Roman"/>
                <w:i/>
                <w:sz w:val="24"/>
                <w:szCs w:val="24"/>
              </w:rPr>
              <w:t>;”</w:t>
            </w:r>
          </w:p>
        </w:tc>
        <w:tc>
          <w:tcPr>
            <w:tcW w:w="5953" w:type="dxa"/>
          </w:tcPr>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iCs/>
                <w:sz w:val="24"/>
                <w:szCs w:val="24"/>
              </w:rPr>
              <w:t>Đề nghị sửa thành:</w:t>
            </w:r>
          </w:p>
          <w:p w:rsidR="005430DF" w:rsidRPr="00AF7630" w:rsidRDefault="005430DF" w:rsidP="0001557F">
            <w:pPr>
              <w:jc w:val="both"/>
              <w:rPr>
                <w:rFonts w:ascii="Times New Roman" w:eastAsia="Times New Roman" w:hAnsi="Times New Roman" w:cs="Times New Roman"/>
                <w:bCs/>
                <w:i/>
                <w:sz w:val="24"/>
                <w:szCs w:val="24"/>
              </w:rPr>
            </w:pPr>
            <w:r w:rsidRPr="00AF7630">
              <w:rPr>
                <w:rFonts w:ascii="Times New Roman" w:eastAsia="Times New Roman" w:hAnsi="Times New Roman" w:cs="Times New Roman"/>
                <w:bCs/>
                <w:i/>
                <w:sz w:val="24"/>
                <w:szCs w:val="24"/>
              </w:rPr>
              <w:t>“7. Tài sản cho thuê tài chính: Giá trị của tài sản cho thuê tài chính được định giá theo quy định tại </w:t>
            </w:r>
            <w:r w:rsidRPr="00AF7630">
              <w:rPr>
                <w:rFonts w:ascii="Times New Roman" w:eastAsia="Times New Roman" w:hAnsi="Times New Roman" w:cs="Times New Roman"/>
                <w:b/>
                <w:bCs/>
                <w:i/>
                <w:iCs/>
                <w:sz w:val="24"/>
                <w:szCs w:val="24"/>
              </w:rPr>
              <w:t>Khoản 8 Điều</w:t>
            </w:r>
            <w:r w:rsidRPr="00AF7630">
              <w:rPr>
                <w:rFonts w:ascii="Times New Roman" w:eastAsia="Times New Roman" w:hAnsi="Times New Roman" w:cs="Times New Roman"/>
                <w:bCs/>
                <w:i/>
                <w:sz w:val="24"/>
                <w:szCs w:val="24"/>
              </w:rPr>
              <w:t> này hoặc giá trị còn lại của tài sản cho thuê tài chính theo thời gian cho thuê được tính bằng công thức:”</w:t>
            </w:r>
          </w:p>
          <w:p w:rsidR="005430DF" w:rsidRPr="00AF7630" w:rsidRDefault="005430DF" w:rsidP="0001557F">
            <w:pPr>
              <w:jc w:val="both"/>
              <w:rPr>
                <w:rFonts w:ascii="Times New Roman" w:eastAsia="Times New Roman" w:hAnsi="Times New Roman" w:cs="Times New Roman"/>
                <w:bCs/>
                <w:sz w:val="24"/>
                <w:szCs w:val="24"/>
              </w:rPr>
            </w:pPr>
          </w:p>
        </w:tc>
        <w:tc>
          <w:tcPr>
            <w:tcW w:w="2268" w:type="dxa"/>
          </w:tcPr>
          <w:p w:rsidR="005430DF" w:rsidRPr="00AF7630" w:rsidRDefault="005430D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NHHTX, KEXIM VLC, </w:t>
            </w:r>
            <w:r w:rsidRPr="00AF7630">
              <w:rPr>
                <w:rFonts w:ascii="Times New Roman" w:hAnsi="Times New Roman" w:cs="Times New Roman"/>
                <w:sz w:val="24"/>
                <w:szCs w:val="24"/>
              </w:rPr>
              <w:t xml:space="preserve">CTCTTC TNHH MTV Quốc Tế Chailease, </w:t>
            </w:r>
          </w:p>
        </w:tc>
        <w:tc>
          <w:tcPr>
            <w:tcW w:w="4677" w:type="dxa"/>
          </w:tcPr>
          <w:p w:rsidR="005430DF" w:rsidRPr="00AF7630" w:rsidRDefault="005430DF"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trích dẫn tại dự thảo Nghị định</w:t>
            </w:r>
          </w:p>
        </w:tc>
      </w:tr>
      <w:tr w:rsidR="005430DF" w:rsidRPr="00AF7630" w:rsidTr="0069372A">
        <w:tc>
          <w:tcPr>
            <w:tcW w:w="2978"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a Khoản 8 Điều 5 DTNĐ:</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“8.</w:t>
            </w:r>
            <w:r w:rsidRPr="00AF7630">
              <w:rPr>
                <w:rFonts w:ascii="Times New Roman" w:eastAsia="Times New Roman" w:hAnsi="Times New Roman" w:cs="Times New Roman"/>
                <w:i/>
                <w:sz w:val="24"/>
                <w:szCs w:val="24"/>
                <w:lang w:val="vi-VN"/>
              </w:rPr>
              <w:t xml:space="preserve"> Việc xác định giá</w:t>
            </w:r>
            <w:r w:rsidRPr="00AF7630">
              <w:rPr>
                <w:rFonts w:ascii="Times New Roman" w:eastAsia="Times New Roman" w:hAnsi="Times New Roman" w:cs="Times New Roman"/>
                <w:i/>
                <w:sz w:val="24"/>
                <w:szCs w:val="24"/>
              </w:rPr>
              <w:t xml:space="preserve"> trị</w:t>
            </w:r>
            <w:r w:rsidRPr="00AF7630">
              <w:rPr>
                <w:rFonts w:ascii="Times New Roman" w:eastAsia="Times New Roman" w:hAnsi="Times New Roman" w:cs="Times New Roman"/>
                <w:i/>
                <w:sz w:val="24"/>
                <w:szCs w:val="24"/>
                <w:lang w:val="vi-VN"/>
              </w:rPr>
              <w:t xml:space="preserve"> của tài sản bảo đảm để khấu trừ khi tính số tiền dự phòng cụ thể đối với động sản, bất động sản và các loại tài sản bảo đảm khác, trừ tài sản quy định tại</w:t>
            </w:r>
            <w:r w:rsidRPr="00AF7630">
              <w:rPr>
                <w:rFonts w:ascii="Times New Roman" w:eastAsia="Times New Roman" w:hAnsi="Times New Roman" w:cs="Times New Roman"/>
                <w:i/>
                <w:sz w:val="24"/>
                <w:szCs w:val="24"/>
              </w:rPr>
              <w:t xml:space="preserve"> các</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khoản 1, 2, 3, 4, 5, 6, 7</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Điều</w:t>
            </w:r>
            <w:r w:rsidRPr="00AF7630">
              <w:rPr>
                <w:rFonts w:ascii="Times New Roman" w:eastAsia="Times New Roman" w:hAnsi="Times New Roman" w:cs="Times New Roman"/>
                <w:i/>
                <w:sz w:val="24"/>
                <w:szCs w:val="24"/>
                <w:lang w:val="vi-VN"/>
              </w:rPr>
              <w:t xml:space="preserve"> này được thực hiện như sau:</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a)</w:t>
            </w:r>
            <w:r w:rsidRPr="00AF7630">
              <w:rPr>
                <w:rFonts w:ascii="Times New Roman" w:eastAsia="Times New Roman" w:hAnsi="Times New Roman" w:cs="Times New Roman"/>
                <w:i/>
                <w:sz w:val="24"/>
                <w:szCs w:val="24"/>
                <w:lang w:val="vi-VN"/>
              </w:rPr>
              <w:t xml:space="preserve"> Tổ chức tín dụng, chi nhánh ngân hàng nước ngoài phải thuê tổ chức có chức năng thẩm định giá </w:t>
            </w:r>
            <w:r w:rsidRPr="00AF7630">
              <w:rPr>
                <w:rFonts w:ascii="Times New Roman" w:eastAsia="Times New Roman" w:hAnsi="Times New Roman" w:cs="Times New Roman"/>
                <w:i/>
                <w:sz w:val="24"/>
                <w:szCs w:val="24"/>
                <w:lang w:val="vi-VN"/>
              </w:rPr>
              <w:lastRenderedPageBreak/>
              <w:t>theo quy định của pháp luật để xác định giá trị tài sản bảo đảm được khấu trừ khi tính số tiền trích lập dự phòng cụ thể</w:t>
            </w:r>
            <w:r w:rsidRPr="00AF7630">
              <w:rPr>
                <w:rFonts w:ascii="Times New Roman" w:eastAsia="Times New Roman" w:hAnsi="Times New Roman" w:cs="Times New Roman"/>
                <w:i/>
                <w:sz w:val="24"/>
                <w:szCs w:val="24"/>
              </w:rPr>
              <w:t xml:space="preserve"> tại thời điểm cuối năm tài chính</w:t>
            </w:r>
            <w:r w:rsidRPr="00AF7630">
              <w:rPr>
                <w:rFonts w:ascii="Times New Roman" w:eastAsia="Times New Roman" w:hAnsi="Times New Roman" w:cs="Times New Roman"/>
                <w:i/>
                <w:sz w:val="24"/>
                <w:szCs w:val="24"/>
                <w:lang w:val="vi-VN"/>
              </w:rPr>
              <w:t xml:space="preserve"> trong các trường hợp sau đây:</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Tài sản bảo đảm mà tổ chức tín dụng, chi nhánh ngân hàng nước ngoài định giá </w:t>
            </w:r>
            <w:r w:rsidRPr="00AF7630">
              <w:rPr>
                <w:rFonts w:ascii="Times New Roman" w:eastAsia="Times New Roman" w:hAnsi="Times New Roman" w:cs="Times New Roman"/>
                <w:i/>
                <w:sz w:val="24"/>
                <w:szCs w:val="24"/>
              </w:rPr>
              <w:t xml:space="preserve">để khấu trừ </w:t>
            </w:r>
            <w:r w:rsidRPr="00AF7630">
              <w:rPr>
                <w:rFonts w:ascii="Times New Roman" w:eastAsia="Times New Roman" w:hAnsi="Times New Roman" w:cs="Times New Roman"/>
                <w:i/>
                <w:sz w:val="24"/>
                <w:szCs w:val="24"/>
                <w:lang w:val="vi-VN"/>
              </w:rPr>
              <w:t xml:space="preserve">từ 50 tỷ đồng trở lên đối với khoản nợ của khách hàng là người có liên quan của tổ chức tín dụng, chi nhánh ngân hàng nước ngoài và các đối tượng bị hạn chế cấp tín dụng theo quy định tại </w:t>
            </w:r>
            <w:bookmarkStart w:id="7" w:name="dc_5"/>
            <w:r w:rsidRPr="00AF7630">
              <w:rPr>
                <w:rFonts w:ascii="Times New Roman" w:eastAsia="Times New Roman" w:hAnsi="Times New Roman" w:cs="Times New Roman"/>
                <w:i/>
                <w:sz w:val="24"/>
                <w:szCs w:val="24"/>
                <w:lang w:val="vi-VN"/>
              </w:rPr>
              <w:t xml:space="preserve">Điều </w:t>
            </w:r>
            <w:r w:rsidRPr="00AF7630">
              <w:rPr>
                <w:rFonts w:ascii="Times New Roman" w:eastAsia="Times New Roman" w:hAnsi="Times New Roman" w:cs="Times New Roman"/>
                <w:i/>
                <w:sz w:val="24"/>
                <w:szCs w:val="24"/>
              </w:rPr>
              <w:t>135</w:t>
            </w:r>
            <w:r w:rsidRPr="00AF7630">
              <w:rPr>
                <w:rFonts w:ascii="Times New Roman" w:eastAsia="Times New Roman" w:hAnsi="Times New Roman" w:cs="Times New Roman"/>
                <w:i/>
                <w:sz w:val="24"/>
                <w:szCs w:val="24"/>
                <w:lang w:val="vi-VN"/>
              </w:rPr>
              <w:t xml:space="preserve"> Luật Các tổ chức tín dụng</w:t>
            </w:r>
            <w:bookmarkEnd w:id="7"/>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t</w:t>
            </w:r>
            <w:r w:rsidRPr="00AF7630">
              <w:rPr>
                <w:rFonts w:ascii="Times New Roman" w:eastAsia="Times New Roman" w:hAnsi="Times New Roman" w:cs="Times New Roman"/>
                <w:i/>
                <w:sz w:val="24"/>
                <w:szCs w:val="24"/>
                <w:lang w:val="vi-VN"/>
              </w:rPr>
              <w:t xml:space="preserve">ài sản bảo đảm mà tổ chức tín dụng, chi nhánh ngân hàng nước ngoài định giá </w:t>
            </w:r>
            <w:r w:rsidRPr="00AF7630">
              <w:rPr>
                <w:rFonts w:ascii="Times New Roman" w:eastAsia="Times New Roman" w:hAnsi="Times New Roman" w:cs="Times New Roman"/>
                <w:i/>
                <w:sz w:val="24"/>
                <w:szCs w:val="24"/>
              </w:rPr>
              <w:t xml:space="preserve">để khấu trừ </w:t>
            </w:r>
            <w:r w:rsidRPr="00AF7630">
              <w:rPr>
                <w:rFonts w:ascii="Times New Roman" w:eastAsia="Times New Roman" w:hAnsi="Times New Roman" w:cs="Times New Roman"/>
                <w:i/>
                <w:sz w:val="24"/>
                <w:szCs w:val="24"/>
                <w:lang w:val="vi-VN"/>
              </w:rPr>
              <w:t>từ 200 tỷ đồng trở lên.</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Kết quả định giá tài sản bảo đảm của tổ chức có chức năng thẩm định giá theo quy định của pháp luật được tổ chức tín dụng, chi nhánh ngân hàng nước ngoài sử dụng để xác định giá trị tài sản bảo đảm được khấu trừ khi tính số tiền trích lập dự phòng cụ thể.</w:t>
            </w:r>
          </w:p>
          <w:p w:rsidR="005430DF" w:rsidRPr="00AF7630" w:rsidRDefault="005430DF" w:rsidP="0001557F">
            <w:pPr>
              <w:jc w:val="both"/>
              <w:rPr>
                <w:rFonts w:ascii="Times New Roman" w:eastAsia="Times New Roman" w:hAnsi="Times New Roman" w:cs="Times New Roman"/>
                <w:sz w:val="24"/>
                <w:szCs w:val="24"/>
                <w:lang w:val="vi-VN"/>
              </w:rPr>
            </w:pPr>
            <w:r w:rsidRPr="00AF7630">
              <w:rPr>
                <w:rFonts w:ascii="Times New Roman" w:eastAsia="Times New Roman" w:hAnsi="Times New Roman" w:cs="Times New Roman"/>
                <w:i/>
                <w:sz w:val="24"/>
                <w:szCs w:val="24"/>
                <w:lang w:val="vi-VN"/>
              </w:rPr>
              <w:t xml:space="preserve">Trường hợp tổ chức có chức năng thẩm định giá không đủ khả năng hoặc không có tổ chức có chức năng thẩm </w:t>
            </w:r>
            <w:r w:rsidRPr="00AF7630">
              <w:rPr>
                <w:rFonts w:ascii="Times New Roman" w:eastAsia="Times New Roman" w:hAnsi="Times New Roman" w:cs="Times New Roman"/>
                <w:i/>
                <w:sz w:val="24"/>
                <w:szCs w:val="24"/>
                <w:lang w:val="vi-VN"/>
              </w:rPr>
              <w:lastRenderedPageBreak/>
              <w:t xml:space="preserve">định giá định giá tài sản bảo đảm thì tổ chức tín dụng, chi nhánh ngân hàng nước ngoài sử dụng kết quả định giá theo quy định nội bộ </w:t>
            </w:r>
            <w:r w:rsidRPr="00AF7630">
              <w:rPr>
                <w:rFonts w:ascii="Times New Roman" w:eastAsia="Times New Roman" w:hAnsi="Times New Roman" w:cs="Times New Roman"/>
                <w:i/>
                <w:sz w:val="24"/>
                <w:szCs w:val="24"/>
              </w:rPr>
              <w:t>của tổ chức tín dụng, chi nhánh ngân hàng nước ngoài</w:t>
            </w:r>
            <w:r w:rsidRPr="00AF7630">
              <w:rPr>
                <w:rFonts w:ascii="Times New Roman" w:eastAsia="Times New Roman" w:hAnsi="Times New Roman" w:cs="Times New Roman"/>
                <w:i/>
                <w:sz w:val="24"/>
                <w:szCs w:val="24"/>
                <w:lang w:val="vi-VN"/>
              </w:rPr>
              <w:t>. Trường hợp không có văn bản định giá tài sản bảo đảm của tổ chức có chức năng thẩm định giá và không xác định được giá trị tài sản bảo đảm theo quy định nội bộ thì giá trị tài sản bảo đảm để khấu trừ phải coi bằng</w:t>
            </w:r>
            <w:r w:rsidRPr="00AF7630">
              <w:rPr>
                <w:rFonts w:ascii="Times New Roman" w:eastAsia="Times New Roman" w:hAnsi="Times New Roman" w:cs="Times New Roman"/>
                <w:i/>
                <w:sz w:val="24"/>
                <w:szCs w:val="24"/>
              </w:rPr>
              <w:t xml:space="preserve"> 0</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không</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w:t>
            </w: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lastRenderedPageBreak/>
              <w:t>Đề nghị quy định nêu rõ tài sản bảo đảm mà tổ chức tín dụng, chi nhánh ngân hàng nước ngoài phải thuê tổ chức có chức năng thẩm định giá tại điểm này là từng tài sản bảo đảm có giá trị định giá từ 50 tỷ đồng/200 tỷ đồng trở lên để tránh trường hợp hiểu nhầm là toàn bộ tài sản bảo đảm cho một khoản nợ của khách hàng.</w:t>
            </w:r>
          </w:p>
        </w:tc>
        <w:tc>
          <w:tcPr>
            <w:tcW w:w="2268" w:type="dxa"/>
          </w:tcPr>
          <w:p w:rsidR="005430DF" w:rsidRPr="00AF7630" w:rsidRDefault="005430D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BIDV</w:t>
            </w:r>
          </w:p>
        </w:tc>
        <w:tc>
          <w:tcPr>
            <w:tcW w:w="4677" w:type="dxa"/>
          </w:tcPr>
          <w:p w:rsidR="005430DF" w:rsidRPr="00AF7630" w:rsidRDefault="005430DF"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b/>
                <w:sz w:val="24"/>
                <w:szCs w:val="24"/>
              </w:rPr>
              <w:t xml:space="preserve">Tiếp thu, </w:t>
            </w:r>
            <w:r w:rsidRPr="00AF7630">
              <w:rPr>
                <w:rFonts w:ascii="Times New Roman" w:eastAsia="Times New Roman" w:hAnsi="Times New Roman" w:cs="Times New Roman"/>
                <w:sz w:val="24"/>
                <w:szCs w:val="24"/>
              </w:rPr>
              <w:t>Chỉnh sửa tại khoản 10 Điều 5 dự thảo Nghị định như sau:</w:t>
            </w:r>
            <w:r w:rsidRPr="00AF7630">
              <w:rPr>
                <w:rFonts w:ascii="Times New Roman" w:eastAsia="Times New Roman" w:hAnsi="Times New Roman" w:cs="Times New Roman"/>
                <w:b/>
                <w:sz w:val="24"/>
                <w:szCs w:val="24"/>
              </w:rPr>
              <w:t xml:space="preserve"> </w:t>
            </w:r>
            <w:r w:rsidRPr="00AF7630">
              <w:rPr>
                <w:rFonts w:ascii="Times New Roman" w:eastAsia="Times New Roman" w:hAnsi="Times New Roman" w:cs="Times New Roman"/>
                <w:i/>
                <w:sz w:val="24"/>
                <w:szCs w:val="24"/>
              </w:rPr>
              <w:t xml:space="preserve">“10. </w:t>
            </w:r>
            <w:r w:rsidRPr="00AF7630">
              <w:rPr>
                <w:rFonts w:ascii="Times New Roman" w:eastAsia="Times New Roman" w:hAnsi="Times New Roman" w:cs="Times New Roman"/>
                <w:i/>
                <w:sz w:val="24"/>
                <w:szCs w:val="24"/>
                <w:lang w:val="vi-VN"/>
              </w:rPr>
              <w:t>Việc xác định giá</w:t>
            </w:r>
            <w:r w:rsidRPr="00AF7630">
              <w:rPr>
                <w:rFonts w:ascii="Times New Roman" w:eastAsia="Times New Roman" w:hAnsi="Times New Roman" w:cs="Times New Roman"/>
                <w:i/>
                <w:sz w:val="24"/>
                <w:szCs w:val="24"/>
              </w:rPr>
              <w:t xml:space="preserve"> trị</w:t>
            </w:r>
            <w:r w:rsidRPr="00AF7630">
              <w:rPr>
                <w:rFonts w:ascii="Times New Roman" w:eastAsia="Times New Roman" w:hAnsi="Times New Roman" w:cs="Times New Roman"/>
                <w:i/>
                <w:sz w:val="24"/>
                <w:szCs w:val="24"/>
                <w:lang w:val="vi-VN"/>
              </w:rPr>
              <w:t xml:space="preserve"> của tài sản bảo đảm để khấu trừ khi tính số tiền dự phòng cụ thể </w:t>
            </w:r>
            <w:r w:rsidRPr="00AF7630">
              <w:rPr>
                <w:rFonts w:ascii="Times New Roman" w:eastAsia="Times New Roman" w:hAnsi="Times New Roman" w:cs="Times New Roman"/>
                <w:i/>
                <w:sz w:val="24"/>
                <w:szCs w:val="24"/>
                <w:u w:val="single"/>
                <w:lang w:val="vi-VN"/>
              </w:rPr>
              <w:t>đối với</w:t>
            </w:r>
            <w:r w:rsidRPr="00AF7630">
              <w:rPr>
                <w:rFonts w:ascii="Times New Roman" w:eastAsia="Times New Roman" w:hAnsi="Times New Roman" w:cs="Times New Roman"/>
                <w:i/>
                <w:sz w:val="24"/>
                <w:szCs w:val="24"/>
                <w:u w:val="single"/>
              </w:rPr>
              <w:t xml:space="preserve"> từng tài sản bảo đảm</w:t>
            </w:r>
            <w:r w:rsidRPr="00AF7630">
              <w:rPr>
                <w:rFonts w:ascii="Times New Roman" w:eastAsia="Times New Roman" w:hAnsi="Times New Roman" w:cs="Times New Roman"/>
                <w:i/>
                <w:sz w:val="24"/>
                <w:szCs w:val="24"/>
              </w:rPr>
              <w:t xml:space="preserve"> là</w:t>
            </w:r>
            <w:r w:rsidRPr="00AF7630">
              <w:rPr>
                <w:rFonts w:ascii="Times New Roman" w:eastAsia="Times New Roman" w:hAnsi="Times New Roman" w:cs="Times New Roman"/>
                <w:i/>
                <w:sz w:val="24"/>
                <w:szCs w:val="24"/>
                <w:lang w:val="vi-VN"/>
              </w:rPr>
              <w:t xml:space="preserve"> động sản, bất động sản</w:t>
            </w:r>
            <w:r w:rsidRPr="00AF7630">
              <w:rPr>
                <w:rFonts w:ascii="Times New Roman" w:eastAsia="Times New Roman" w:hAnsi="Times New Roman" w:cs="Times New Roman"/>
                <w:i/>
                <w:sz w:val="24"/>
                <w:szCs w:val="24"/>
              </w:rPr>
              <w:t xml:space="preserve"> …”</w:t>
            </w:r>
          </w:p>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xml:space="preserve">Khoản 8, điểm a quy định việc yêu cầu TCTD phải thuê đơn vị định giá độc lập để xác định giá trị tài sản bảo đảm có giá trị &gt; 200 tỷ đồng là không khả thi do khối lượng tài sản bảo đảm rất lớn, phát sinh thời gian và chi phí không nhỏ để thực hiện hàng năm, gây lãng phí trong hệ thống. Ngân hàng Nhà nước nên có thống kê tỷ lệ tài sản bảo đảm có giá trị &gt; 200 tỷ là bao nhiêu tài sản, chiếm tỷ lệ %/tổng tài sản bảo đảm như thế nào để đưa ra phương án phù họp, vừa bảo đảm quản trị rủi ro, vừa không gây tốn kém chi phí </w:t>
            </w:r>
            <w:r w:rsidRPr="00AF7630">
              <w:rPr>
                <w:rFonts w:ascii="Times New Roman" w:eastAsia="Times New Roman" w:hAnsi="Times New Roman" w:cs="Times New Roman"/>
                <w:bCs/>
                <w:iCs/>
                <w:sz w:val="24"/>
                <w:szCs w:val="24"/>
              </w:rPr>
              <w:lastRenderedPageBreak/>
              <w:t>đối với các TCTD.</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Bộ Công an</w:t>
            </w:r>
          </w:p>
        </w:tc>
        <w:tc>
          <w:tcPr>
            <w:tcW w:w="4677" w:type="dxa"/>
          </w:tcPr>
          <w:p w:rsidR="005430DF" w:rsidRPr="00AF7630" w:rsidRDefault="005430DF" w:rsidP="00CA7F61">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Theo số liệu tại CIC cung cấp thì số lượng TSBĐ đến ngày 30/4/2024 thì tỷ lệ tài sản bảo đảm có giá trị trên 50 tỷ đồng và trên 200 tỷ đồng so với tổng số lượng tài sản bảo đảm chiếm lần lượt 0.73% và 0,2%, rất nhỏ so với tổng số lượng tài sản bảo đảm. Đồng thời, tại khoản 10 Điều 5 dự thảo Nghị định đã quy định trường hợp TSBĐ có giá trị lớn hơn 50 tỷ đồng/200 tỷ đồng thì chỉ cần có kết quả </w:t>
            </w:r>
            <w:r w:rsidRPr="00AF7630">
              <w:rPr>
                <w:rFonts w:ascii="Times New Roman" w:eastAsia="Times New Roman" w:hAnsi="Times New Roman" w:cs="Times New Roman"/>
                <w:sz w:val="24"/>
                <w:szCs w:val="24"/>
              </w:rPr>
              <w:lastRenderedPageBreak/>
              <w:t>định giá tài sản bảo đảm của tổ chức có chức năng thẩm định giá theo quy định của pháp luật còn hiệu lực tại ngày trích lập dự phòng cụ thể cho thời điểm cuối năm tài chính; còn các thời điểm khác trong năm TCTD, chi nhánh NHNg có thể thực hiện theo quy định nội bộ quy định tại điểm b khoản 10 Điều 5 dự thảo Nghị định.</w:t>
            </w:r>
          </w:p>
          <w:p w:rsidR="005430DF" w:rsidRPr="00AF7630" w:rsidDel="000B0050" w:rsidRDefault="005430DF" w:rsidP="00E52E24">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vậy, dự thảo Nghị định giữ nguyên quy định về việc yêu cầu TCTD phải thuê định giá đối với những tài sản có giá trị trên 50 tỷ đồng và trên 200 tỷ đồng nhằm bảo đảm yêu cầu về quản trị rủi ro, đồng thời cũng không gây tốn kém chi phí đối với các TCTD, chi nhánh NHNg.</w:t>
            </w:r>
          </w:p>
        </w:tc>
      </w:tr>
      <w:tr w:rsidR="005430DF" w:rsidRPr="00AF7630" w:rsidTr="001E5890">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vAlign w:val="center"/>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Đề nghị Quý Cơ quan làm rõ các căn cứ để xác định tổ chức định giá không đủ khả năng hoặc không cố tổ chức định giá đồng ý thực hiện định giá.</w:t>
            </w:r>
          </w:p>
        </w:tc>
        <w:tc>
          <w:tcPr>
            <w:tcW w:w="2268" w:type="dxa"/>
          </w:tcPr>
          <w:p w:rsidR="005430DF" w:rsidRPr="00AF7630" w:rsidRDefault="005430DF" w:rsidP="0001557F">
            <w:pPr>
              <w:jc w:val="both"/>
              <w:rPr>
                <w:rFonts w:ascii="Times New Roman" w:hAnsi="Times New Roman" w:cs="Times New Roman"/>
                <w:sz w:val="24"/>
                <w:szCs w:val="24"/>
              </w:rPr>
            </w:pPr>
            <w:r w:rsidRPr="00AF7630">
              <w:rPr>
                <w:rFonts w:ascii="Times New Roman" w:hAnsi="Times New Roman" w:cs="Times New Roman"/>
                <w:sz w:val="24"/>
                <w:szCs w:val="24"/>
              </w:rPr>
              <w:t xml:space="preserve">BIDV, VP Bank, </w:t>
            </w:r>
            <w:r w:rsidRPr="00AF7630">
              <w:rPr>
                <w:rFonts w:ascii="Times New Roman" w:eastAsia="Times New Roman" w:hAnsi="Times New Roman" w:cs="Times New Roman"/>
                <w:bCs/>
                <w:sz w:val="24"/>
                <w:szCs w:val="24"/>
              </w:rPr>
              <w:t>Vietbank</w:t>
            </w:r>
          </w:p>
        </w:tc>
        <w:tc>
          <w:tcPr>
            <w:tcW w:w="4677"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TCTD, chi nhánh NHNg căn cứ quy định của pháp luật về thẩm định giá để thực hiện.</w:t>
            </w:r>
          </w:p>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1E5890">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vAlign w:val="center"/>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TCTD có thể chứng minh bằng chứng từ xác thực là thuộc trường hợp “tổ chức có chức năng thẩm định giá không đủ khả năng hoặc không có tổ chức có chức năng thẩm định giá tài sản bảo đảm thì tổ chức tín dụng sử dụng kết quả định giá theo quy định nội bộ của tổ chức tín dụng”.</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Việc định giá tài sản bảo đảm khi cấp tín dụng là trách nhiệm của tổ chức tín dụng. Các tổ chức tín dụng đều có các quy định nội bộ và có cơ cấu tổ chức để triển khai việc định giá tài sản bảo đảm nhằm bảo đảm an toàn khi cấp tín dụng. Trong khi đó, việc thuê tổ chức có chức năng thẩm định giá thường mất thời gian lâu và chi phí cao khi thực hiện. Vì vậy, đề xuất Đơn vị soạn thảo giao quyền cho tổ chức tín dụng quyết định việc tự định giá hoặc thuê tổ chức có chức năng thẩm định giá đối với tất cả các tài sản bảo đảm khi xác định giá trị của tài sản bảo đảm để khấu trừ khi tính số tiền dự phòng.</w:t>
            </w:r>
          </w:p>
        </w:tc>
        <w:tc>
          <w:tcPr>
            <w:tcW w:w="2268" w:type="dxa"/>
          </w:tcPr>
          <w:p w:rsidR="005430DF" w:rsidRPr="00AF7630" w:rsidRDefault="005430DF" w:rsidP="0001557F">
            <w:pPr>
              <w:jc w:val="both"/>
              <w:rPr>
                <w:rFonts w:ascii="Times New Roman" w:hAnsi="Times New Roman" w:cs="Times New Roman"/>
                <w:sz w:val="24"/>
                <w:szCs w:val="24"/>
              </w:rPr>
            </w:pPr>
            <w:r w:rsidRPr="00AF7630">
              <w:rPr>
                <w:rFonts w:ascii="Times New Roman" w:hAnsi="Times New Roman" w:cs="Times New Roman"/>
                <w:sz w:val="24"/>
                <w:szCs w:val="24"/>
              </w:rPr>
              <w:t>Saigonbank</w:t>
            </w:r>
          </w:p>
        </w:tc>
        <w:tc>
          <w:tcPr>
            <w:tcW w:w="4677" w:type="dxa"/>
            <w:vMerge/>
          </w:tcPr>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xml:space="preserve">1. Theo quy định của Thông tư 13 và Thông tư 39, TCTD luôn phải xác định giá trị định giá của TSBĐ để làm căn cứ thẩm định cấp tín dụng, quản lý khoản cấp tín dụng. Do đó, </w:t>
            </w:r>
            <w:r w:rsidRPr="00AF7630">
              <w:rPr>
                <w:rFonts w:ascii="Times New Roman" w:eastAsia="Times New Roman" w:hAnsi="Times New Roman" w:cs="Times New Roman"/>
                <w:bCs/>
                <w:iCs/>
                <w:sz w:val="24"/>
                <w:szCs w:val="24"/>
              </w:rPr>
              <w:lastRenderedPageBreak/>
              <w:t>trong mọi trường hợp, sẽ không phát sinh trường hợp giá trị khấu trừ của TSBĐ bằng 0.</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sym w:font="Wingdings" w:char="F0E0"/>
            </w:r>
            <w:r w:rsidRPr="00AF7630">
              <w:rPr>
                <w:rFonts w:ascii="Times New Roman" w:eastAsia="Times New Roman" w:hAnsi="Times New Roman" w:cs="Times New Roman"/>
                <w:bCs/>
                <w:iCs/>
                <w:sz w:val="24"/>
                <w:szCs w:val="24"/>
              </w:rPr>
              <w:t> Đề xuất NHNN xem xét lại nội dung quy định này.</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2. Trường hợp có các tổ chức có chức năng thẩm định giá và định giá được giá trị các TSBĐ nhưng các TCTD không thuê thì có được dùng giá trị định giá theo quy định nội bộ để tính khấu trừ hay không.</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sym w:font="Wingdings" w:char="F0E0"/>
            </w:r>
            <w:r w:rsidRPr="00AF7630">
              <w:rPr>
                <w:rFonts w:ascii="Times New Roman" w:eastAsia="Times New Roman" w:hAnsi="Times New Roman" w:cs="Times New Roman"/>
                <w:bCs/>
                <w:iCs/>
                <w:sz w:val="24"/>
                <w:szCs w:val="24"/>
              </w:rPr>
              <w:t> Đề xuất làm rõ.</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3. Khoản 2 Điều 32 Thông tư 13/2018/TT-NHNN ngày 18/05/2018 quy định: </w:t>
            </w:r>
            <w:r w:rsidRPr="00AF7630">
              <w:rPr>
                <w:rFonts w:ascii="Times New Roman" w:eastAsia="Times New Roman" w:hAnsi="Times New Roman" w:cs="Times New Roman"/>
                <w:bCs/>
                <w:i/>
                <w:iCs/>
                <w:sz w:val="24"/>
                <w:szCs w:val="24"/>
              </w:rPr>
              <w:t>“2. Trong quá trình thẩm định, trường hợp sử dụng các kênh thông tin khác ngoài ngân hàng thương mại, chi nhánh ngân hàng nước ngoài đối với khách hàng, ngân hàng thương mại, chi nhánh ngân hàng nước ngoài phải kiểm tra chất lượng thông tin và tính độc lập của kênh thông tin với bên được cấp tín dụng.”</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sym w:font="Wingdings" w:char="F0E0"/>
            </w:r>
            <w:r w:rsidRPr="00AF7630">
              <w:rPr>
                <w:rFonts w:ascii="Times New Roman" w:eastAsia="Times New Roman" w:hAnsi="Times New Roman" w:cs="Times New Roman"/>
                <w:bCs/>
                <w:iCs/>
                <w:sz w:val="24"/>
                <w:szCs w:val="24"/>
              </w:rPr>
              <w:t> Như vậy, trong quá trình rà soát trên cơ sở thận trọng và các nội dung loại trừ trong chứng thư thẩm định giá, TCTD xem xét phê duyệt giá trị TSBĐ thấp hơn hoặc bằng giá trị trên chứng thư.</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sym w:font="Wingdings" w:char="F0E0"/>
            </w:r>
            <w:r w:rsidRPr="00AF7630">
              <w:rPr>
                <w:rFonts w:ascii="Times New Roman" w:eastAsia="Times New Roman" w:hAnsi="Times New Roman" w:cs="Times New Roman"/>
                <w:bCs/>
                <w:iCs/>
                <w:sz w:val="24"/>
                <w:szCs w:val="24"/>
              </w:rPr>
              <w:t> Đề xuất NHNN xem xét thay đổi nội dung này theo hướng: </w:t>
            </w:r>
            <w:r w:rsidRPr="00AF7630">
              <w:rPr>
                <w:rFonts w:ascii="Times New Roman" w:eastAsia="Times New Roman" w:hAnsi="Times New Roman" w:cs="Times New Roman"/>
                <w:bCs/>
                <w:i/>
                <w:iCs/>
                <w:sz w:val="24"/>
                <w:szCs w:val="24"/>
              </w:rPr>
              <w:t>Tổ chức tín dụng, chi nhánh ngân hàng nước ngoài căn cứ kết quả định giá TSBĐ của tổ chức có chức năng thẩm định giá theo quy định của pháp luật để xác định giá trị tài sản bảo đảm được khấu trừ khi tính số tiền trích lập dự phòng cụ thể trên nguyên tắc </w:t>
            </w:r>
            <w:r w:rsidRPr="00AF7630">
              <w:rPr>
                <w:rFonts w:ascii="Times New Roman" w:eastAsia="Times New Roman" w:hAnsi="Times New Roman" w:cs="Times New Roman"/>
                <w:b/>
                <w:bCs/>
                <w:i/>
                <w:iCs/>
                <w:sz w:val="24"/>
                <w:szCs w:val="24"/>
              </w:rPr>
              <w:t>giá trị TSBĐ để tính khấu trừ tối đa bằng giá trị định giá TSBĐ của tổ chức có chức năng thẩm định giá.</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VCB</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1. Nội dung 1</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Giá trị tài sản bảo đảm được định giá thông thường có giá trị, tuy nhiên, giá trị tài sản để </w:t>
            </w:r>
            <w:r w:rsidRPr="00AF7630">
              <w:rPr>
                <w:rFonts w:ascii="Times New Roman" w:eastAsia="Times New Roman" w:hAnsi="Times New Roman" w:cs="Times New Roman"/>
                <w:sz w:val="24"/>
                <w:szCs w:val="24"/>
              </w:rPr>
              <w:lastRenderedPageBreak/>
              <w:t>khấu trừ khi được sử dụng để tính trích lập dự phòng rủi ro được xác định trên cơ sở rủi ro, do vậy, trường hợp xác định không đủ điều kiện để khấu trừ khi tính dự phòng thì giá trị tài sản bảo đảm đề khấu trừ có thể bằng 0.</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xml:space="preserve">2. Nội dung 2: </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đã quy định rõ trường hợp nào cần phải thuê thẩm định giá tại khoản 9 Điều 5 dự thảo Nghị định.</w:t>
            </w:r>
          </w:p>
          <w:p w:rsidR="005430DF" w:rsidRPr="00AF7630" w:rsidRDefault="005430DF"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3. Nội dung 3: </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Dự thảo Nghị định quy định theo hướng các TCTD, chi nhánh NHNg cần căn cứ kết quả </w:t>
            </w:r>
            <w:r w:rsidRPr="00AF7630">
              <w:rPr>
                <w:rFonts w:ascii="Times New Roman" w:eastAsia="Times New Roman" w:hAnsi="Times New Roman" w:cs="Times New Roman"/>
                <w:sz w:val="24"/>
                <w:szCs w:val="24"/>
                <w:lang w:val="vi-VN"/>
              </w:rPr>
              <w:t xml:space="preserve">định giá </w:t>
            </w:r>
            <w:r w:rsidRPr="00AF7630">
              <w:rPr>
                <w:rFonts w:ascii="Times New Roman" w:eastAsia="Times New Roman" w:hAnsi="Times New Roman" w:cs="Times New Roman"/>
                <w:sz w:val="24"/>
                <w:szCs w:val="24"/>
              </w:rPr>
              <w:t>TSBĐ</w:t>
            </w:r>
            <w:r w:rsidRPr="00AF7630">
              <w:rPr>
                <w:rFonts w:ascii="Times New Roman" w:eastAsia="Times New Roman" w:hAnsi="Times New Roman" w:cs="Times New Roman"/>
                <w:sz w:val="24"/>
                <w:szCs w:val="24"/>
                <w:lang w:val="vi-VN"/>
              </w:rPr>
              <w:t xml:space="preserve"> của tổ chức có chức năng thẩm định giá</w:t>
            </w:r>
            <w:r w:rsidRPr="00AF7630">
              <w:rPr>
                <w:rFonts w:ascii="Times New Roman" w:eastAsia="Times New Roman" w:hAnsi="Times New Roman" w:cs="Times New Roman"/>
                <w:sz w:val="24"/>
                <w:szCs w:val="24"/>
              </w:rPr>
              <w:t xml:space="preserve"> để xác định giá trị TSBĐ được khấu trừ nhằm đảm bảo thống nhất nguyên tắc thực hiện tại Dự thảo Nghị định cũng như các quy định pháp luật về kế toán, cơ chế tài chính..</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xml:space="preserve">Cách diễn đạt tại Dự thảo Nghị định có thể dẫn đến hiểu nhầm: 50 tỷ đồng, 200 tỷ  đồng </w:t>
            </w:r>
            <w:r w:rsidRPr="00AF7630">
              <w:rPr>
                <w:rFonts w:ascii="Times New Roman" w:eastAsia="Times New Roman" w:hAnsi="Times New Roman" w:cs="Times New Roman"/>
                <w:b/>
                <w:bCs/>
                <w:iCs/>
                <w:sz w:val="24"/>
                <w:szCs w:val="24"/>
              </w:rPr>
              <w:t>là giá trị khấu trừ của tài sản bảo đảm (Ci)</w:t>
            </w:r>
            <w:r w:rsidRPr="00AF7630">
              <w:rPr>
                <w:rFonts w:ascii="Times New Roman" w:eastAsia="Times New Roman" w:hAnsi="Times New Roman" w:cs="Times New Roman"/>
                <w:bCs/>
                <w:iCs/>
                <w:sz w:val="24"/>
                <w:szCs w:val="24"/>
              </w:rPr>
              <w:t xml:space="preserve"> chứ không phải giá trị TSBĐ trước khi nhân tỷ lệ khấu trừ. Do đó, đề nghị sửa như sau:</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
                <w:iCs/>
                <w:sz w:val="24"/>
                <w:szCs w:val="24"/>
              </w:rPr>
              <w:t>“Tài sản bảo đảm</w:t>
            </w:r>
            <w:r w:rsidRPr="00AF7630">
              <w:rPr>
                <w:rFonts w:ascii="Times New Roman" w:eastAsia="Times New Roman" w:hAnsi="Times New Roman" w:cs="Times New Roman"/>
                <w:b/>
                <w:bCs/>
                <w:i/>
                <w:iCs/>
                <w:sz w:val="24"/>
                <w:szCs w:val="24"/>
              </w:rPr>
              <w:t> để khấu trừ</w:t>
            </w:r>
            <w:r w:rsidRPr="00AF7630">
              <w:rPr>
                <w:rFonts w:ascii="Times New Roman" w:eastAsia="Times New Roman" w:hAnsi="Times New Roman" w:cs="Times New Roman"/>
                <w:bCs/>
                <w:i/>
                <w:iCs/>
                <w:sz w:val="24"/>
                <w:szCs w:val="24"/>
              </w:rPr>
              <w:t> mà tổ chức tín dụng, chi nhánh ngân hàng nước ngoài </w:t>
            </w:r>
            <w:r w:rsidRPr="00AF7630">
              <w:rPr>
                <w:rFonts w:ascii="Times New Roman" w:eastAsia="Times New Roman" w:hAnsi="Times New Roman" w:cs="Times New Roman"/>
                <w:b/>
                <w:bCs/>
                <w:i/>
                <w:iCs/>
                <w:sz w:val="24"/>
                <w:szCs w:val="24"/>
              </w:rPr>
              <w:t>định giá từ 50 tỷ đồng</w:t>
            </w:r>
            <w:r w:rsidRPr="00AF7630">
              <w:rPr>
                <w:rFonts w:ascii="Times New Roman" w:eastAsia="Times New Roman" w:hAnsi="Times New Roman" w:cs="Times New Roman"/>
                <w:bCs/>
                <w:i/>
                <w:iCs/>
                <w:sz w:val="24"/>
                <w:szCs w:val="24"/>
              </w:rPr>
              <w:t> trở lên đối với khoản nợ của khách hàng là người có liên quan của tổ chức tín dụng, chi nhánh ngân hàng nước ngoài và các đối tượng bị hạn chế cấp tín dụng theo quy định tại Điều 135 Luật Các tổ chức tín dụng; tài sản bảo đảm </w:t>
            </w:r>
            <w:r w:rsidRPr="00AF7630">
              <w:rPr>
                <w:rFonts w:ascii="Times New Roman" w:eastAsia="Times New Roman" w:hAnsi="Times New Roman" w:cs="Times New Roman"/>
                <w:b/>
                <w:bCs/>
                <w:i/>
                <w:iCs/>
                <w:sz w:val="24"/>
                <w:szCs w:val="24"/>
              </w:rPr>
              <w:t xml:space="preserve">để </w:t>
            </w:r>
            <w:r w:rsidRPr="00AF7630">
              <w:rPr>
                <w:rFonts w:ascii="Times New Roman" w:eastAsia="Times New Roman" w:hAnsi="Times New Roman" w:cs="Times New Roman"/>
                <w:b/>
                <w:bCs/>
                <w:i/>
                <w:iCs/>
                <w:sz w:val="24"/>
                <w:szCs w:val="24"/>
              </w:rPr>
              <w:lastRenderedPageBreak/>
              <w:t>khấu trừ</w:t>
            </w:r>
            <w:r w:rsidRPr="00AF7630">
              <w:rPr>
                <w:rFonts w:ascii="Times New Roman" w:eastAsia="Times New Roman" w:hAnsi="Times New Roman" w:cs="Times New Roman"/>
                <w:bCs/>
                <w:i/>
                <w:iCs/>
                <w:sz w:val="24"/>
                <w:szCs w:val="24"/>
              </w:rPr>
              <w:t> mà tổ chức tín dụng, chi nhánh ngân hàng nước ngoài </w:t>
            </w:r>
            <w:r w:rsidRPr="00AF7630">
              <w:rPr>
                <w:rFonts w:ascii="Times New Roman" w:eastAsia="Times New Roman" w:hAnsi="Times New Roman" w:cs="Times New Roman"/>
                <w:b/>
                <w:bCs/>
                <w:i/>
                <w:iCs/>
                <w:sz w:val="24"/>
                <w:szCs w:val="24"/>
              </w:rPr>
              <w:t>định giá từ 200 tỷ đồng</w:t>
            </w:r>
            <w:r w:rsidRPr="00AF7630">
              <w:rPr>
                <w:rFonts w:ascii="Times New Roman" w:eastAsia="Times New Roman" w:hAnsi="Times New Roman" w:cs="Times New Roman"/>
                <w:bCs/>
                <w:i/>
                <w:iCs/>
                <w:sz w:val="24"/>
                <w:szCs w:val="24"/>
              </w:rPr>
              <w:t> trở lên.”</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BIDV</w:t>
            </w:r>
          </w:p>
        </w:tc>
        <w:tc>
          <w:tcPr>
            <w:tcW w:w="4677"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điểm a khoản 10 Điều 5 dự thảo Nghị định theo hướng sửa đổi cụm từ “để khấu trừ” thành “để tính khấu trừ” để đảm bảo rõ ràng cách hiểu là TSBĐ chưa tính khấu trừ.</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Nội dung chỉnh sửa như sau: </w:t>
            </w:r>
            <w:r w:rsidRPr="00AF7630">
              <w:rPr>
                <w:rFonts w:ascii="Times New Roman" w:eastAsia="Times New Roman" w:hAnsi="Times New Roman" w:cs="Times New Roman"/>
                <w:i/>
                <w:sz w:val="24"/>
                <w:szCs w:val="24"/>
              </w:rPr>
              <w:t>“T</w:t>
            </w:r>
            <w:r w:rsidRPr="00AF7630">
              <w:rPr>
                <w:rFonts w:ascii="Times New Roman" w:eastAsia="Times New Roman" w:hAnsi="Times New Roman" w:cs="Times New Roman"/>
                <w:i/>
                <w:sz w:val="24"/>
                <w:szCs w:val="24"/>
                <w:lang w:val="vi-VN"/>
              </w:rPr>
              <w:t>ài sản bảo đảm</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 xml:space="preserve">mà tổ chức tín dụng, chi nhánh ngân hàng nước ngoài </w:t>
            </w:r>
            <w:r w:rsidRPr="00AF7630">
              <w:rPr>
                <w:rFonts w:ascii="Times New Roman" w:eastAsia="Times New Roman" w:hAnsi="Times New Roman" w:cs="Times New Roman"/>
                <w:i/>
                <w:sz w:val="24"/>
                <w:szCs w:val="24"/>
                <w:u w:val="single"/>
              </w:rPr>
              <w:t>xác định</w:t>
            </w:r>
            <w:r w:rsidRPr="00AF7630">
              <w:rPr>
                <w:rFonts w:ascii="Times New Roman" w:eastAsia="Times New Roman" w:hAnsi="Times New Roman" w:cs="Times New Roman"/>
                <w:i/>
                <w:sz w:val="24"/>
                <w:szCs w:val="24"/>
              </w:rPr>
              <w:t xml:space="preserve"> giá trị tài sản bảo đảm </w:t>
            </w:r>
            <w:r w:rsidRPr="00AF7630">
              <w:rPr>
                <w:rFonts w:ascii="Times New Roman" w:eastAsia="Times New Roman" w:hAnsi="Times New Roman" w:cs="Times New Roman"/>
                <w:i/>
                <w:sz w:val="24"/>
                <w:szCs w:val="24"/>
                <w:u w:val="single"/>
              </w:rPr>
              <w:t>để tính khấu trừ</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 xml:space="preserve">từ 50 tỷ đồng trở lên đối với khoản nợ của khách hàng là người có liên </w:t>
            </w:r>
            <w:r w:rsidRPr="00AF7630">
              <w:rPr>
                <w:rFonts w:ascii="Times New Roman" w:eastAsia="Times New Roman" w:hAnsi="Times New Roman" w:cs="Times New Roman"/>
                <w:i/>
                <w:sz w:val="24"/>
                <w:szCs w:val="24"/>
                <w:lang w:val="vi-VN"/>
              </w:rPr>
              <w:lastRenderedPageBreak/>
              <w:t xml:space="preserve">quan của tổ chức tín dụng, chi nhánh ngân hàng nước ngoài và các đối tượng bị hạn chế cấp tín dụng theo quy định tại Điều </w:t>
            </w:r>
            <w:r w:rsidRPr="00AF7630">
              <w:rPr>
                <w:rFonts w:ascii="Times New Roman" w:eastAsia="Times New Roman" w:hAnsi="Times New Roman" w:cs="Times New Roman"/>
                <w:i/>
                <w:sz w:val="24"/>
                <w:szCs w:val="24"/>
              </w:rPr>
              <w:t>135</w:t>
            </w:r>
            <w:r w:rsidRPr="00AF7630">
              <w:rPr>
                <w:rFonts w:ascii="Times New Roman" w:eastAsia="Times New Roman" w:hAnsi="Times New Roman" w:cs="Times New Roman"/>
                <w:i/>
                <w:sz w:val="24"/>
                <w:szCs w:val="24"/>
                <w:lang w:val="vi-VN"/>
              </w:rPr>
              <w:t xml:space="preserve"> Luật Các tổ chức tín dụng; </w:t>
            </w:r>
            <w:r w:rsidRPr="00AF7630">
              <w:rPr>
                <w:rFonts w:ascii="Times New Roman" w:eastAsia="Times New Roman" w:hAnsi="Times New Roman" w:cs="Times New Roman"/>
                <w:i/>
                <w:sz w:val="24"/>
                <w:szCs w:val="24"/>
              </w:rPr>
              <w:t>t</w:t>
            </w:r>
            <w:r w:rsidRPr="00AF7630">
              <w:rPr>
                <w:rFonts w:ascii="Times New Roman" w:eastAsia="Times New Roman" w:hAnsi="Times New Roman" w:cs="Times New Roman"/>
                <w:i/>
                <w:sz w:val="24"/>
                <w:szCs w:val="24"/>
                <w:lang w:val="vi-VN"/>
              </w:rPr>
              <w:t xml:space="preserve">ài sản bảo đảm mà tổ chức tín dụng, chi nhánh ngân hàng nước ngoài </w:t>
            </w:r>
            <w:r w:rsidRPr="00AF7630">
              <w:rPr>
                <w:rFonts w:ascii="Times New Roman" w:eastAsia="Times New Roman" w:hAnsi="Times New Roman" w:cs="Times New Roman"/>
                <w:i/>
                <w:sz w:val="24"/>
                <w:szCs w:val="24"/>
                <w:u w:val="single"/>
              </w:rPr>
              <w:t xml:space="preserve">xác định </w:t>
            </w:r>
            <w:r w:rsidRPr="00AF7630">
              <w:rPr>
                <w:rFonts w:ascii="Times New Roman" w:eastAsia="Times New Roman" w:hAnsi="Times New Roman" w:cs="Times New Roman"/>
                <w:i/>
                <w:sz w:val="24"/>
                <w:szCs w:val="24"/>
              </w:rPr>
              <w:t xml:space="preserve">giá trị tài sản bảo đảm </w:t>
            </w:r>
            <w:r w:rsidRPr="00AF7630">
              <w:rPr>
                <w:rFonts w:ascii="Times New Roman" w:eastAsia="Times New Roman" w:hAnsi="Times New Roman" w:cs="Times New Roman"/>
                <w:i/>
                <w:sz w:val="24"/>
                <w:szCs w:val="24"/>
                <w:u w:val="single"/>
              </w:rPr>
              <w:t>để tính khấu trừ</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từ 200 tỷ đồng trở lên…</w:t>
            </w:r>
            <w:r w:rsidRPr="00AF7630">
              <w:rPr>
                <w:rFonts w:ascii="Times New Roman" w:eastAsia="Times New Roman" w:hAnsi="Times New Roman" w:cs="Times New Roman"/>
                <w:i/>
                <w:sz w:val="24"/>
                <w:szCs w:val="24"/>
              </w:rPr>
              <w:t>”</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Đối với nội dung </w:t>
            </w:r>
            <w:r w:rsidRPr="00AF7630">
              <w:rPr>
                <w:rFonts w:ascii="Times New Roman" w:eastAsia="Times New Roman" w:hAnsi="Times New Roman" w:cs="Times New Roman"/>
                <w:bCs/>
                <w:i/>
                <w:iCs/>
                <w:sz w:val="24"/>
                <w:szCs w:val="24"/>
              </w:rPr>
              <w:t>“…tài sản bảo đảm mà tổ chức tín dụng, chi nhánh ngân hàng nước ngoài định giá </w:t>
            </w:r>
            <w:r w:rsidRPr="00AF7630">
              <w:rPr>
                <w:rFonts w:ascii="Times New Roman" w:eastAsia="Times New Roman" w:hAnsi="Times New Roman" w:cs="Times New Roman"/>
                <w:bCs/>
                <w:i/>
                <w:iCs/>
                <w:sz w:val="24"/>
                <w:szCs w:val="24"/>
                <w:u w:val="single"/>
              </w:rPr>
              <w:t>để khấu trừ</w:t>
            </w:r>
            <w:r w:rsidRPr="00AF7630">
              <w:rPr>
                <w:rFonts w:ascii="Times New Roman" w:eastAsia="Times New Roman" w:hAnsi="Times New Roman" w:cs="Times New Roman"/>
                <w:bCs/>
                <w:i/>
                <w:iCs/>
                <w:sz w:val="24"/>
                <w:szCs w:val="24"/>
              </w:rPr>
              <w:t> từ 200 tỷ đồng trở lên”, </w:t>
            </w:r>
            <w:r w:rsidRPr="00AF7630">
              <w:rPr>
                <w:rFonts w:ascii="Times New Roman" w:eastAsia="Times New Roman" w:hAnsi="Times New Roman" w:cs="Times New Roman"/>
                <w:bCs/>
                <w:iCs/>
                <w:sz w:val="24"/>
                <w:szCs w:val="24"/>
              </w:rPr>
              <w:t>có thể hiểu theo 2 cách như sau:</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Cách 1: như theo Thông tư 11 hiện nay là quy định đối với tài sản bảo đảm mà tổ chức tín dụng, chi nhánh Ngân hàng nước ngoài định giá từ 200 tỷ đồng trở lên.</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Cách 2: quy định tài sản bảo đảm mà giá trị khấu trừ từ 200 tỷ đồng trở lên.</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Kính đề nghị NHNN quy định rõ hơn để tránh gây hiểu nhầm, kính đề xuất:</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Nếu tinh thần quy định theo cách hiểu 1: đề xuất giữ nguyên nội dung như quy định tại Thông tư 11 hiện nay.</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Nếu tinh thần quy định theo cách hiểu 2: đề xuất quy định cụ thể hơn là </w:t>
            </w:r>
            <w:r w:rsidRPr="00AF7630">
              <w:rPr>
                <w:rFonts w:ascii="Times New Roman" w:eastAsia="Times New Roman" w:hAnsi="Times New Roman" w:cs="Times New Roman"/>
                <w:bCs/>
                <w:i/>
                <w:iCs/>
                <w:sz w:val="24"/>
                <w:szCs w:val="24"/>
              </w:rPr>
              <w:t>“tài sản bảo đảm mà tổ chức tín dụng, chi nhánh ngân hàng nước ngoài xác định giá trị khấu trừ từ 200 tỷ đồng trở lên”.</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Sacombank</w:t>
            </w:r>
          </w:p>
        </w:tc>
        <w:tc>
          <w:tcPr>
            <w:tcW w:w="4677" w:type="dxa"/>
            <w:vMerge/>
          </w:tcPr>
          <w:p w:rsidR="005430DF" w:rsidRPr="00AF7630" w:rsidDel="00650B7B" w:rsidRDefault="005430DF" w:rsidP="0001557F">
            <w:pPr>
              <w:jc w:val="both"/>
              <w:rPr>
                <w:rFonts w:ascii="Times New Roman" w:eastAsia="Times New Roman" w:hAnsi="Times New Roman" w:cs="Times New Roman"/>
                <w:b/>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Đối với nội dung “</w:t>
            </w:r>
            <w:r w:rsidRPr="00AF7630">
              <w:rPr>
                <w:rFonts w:ascii="Times New Roman" w:eastAsia="Times New Roman" w:hAnsi="Times New Roman" w:cs="Times New Roman"/>
                <w:bCs/>
                <w:i/>
                <w:iCs/>
                <w:sz w:val="24"/>
                <w:szCs w:val="24"/>
              </w:rPr>
              <w:t>Tài sản bảo đảm mà tổ chức tín dụng, chi nhánh ngân hàng nước ngoài định giá để khấu trừ từ 50 tỷ đồng trở lên đối với khoản nợ của khách hàng…”, </w:t>
            </w:r>
            <w:r w:rsidRPr="00AF7630">
              <w:rPr>
                <w:rFonts w:ascii="Times New Roman" w:eastAsia="Times New Roman" w:hAnsi="Times New Roman" w:cs="Times New Roman"/>
                <w:bCs/>
                <w:iCs/>
                <w:sz w:val="24"/>
                <w:szCs w:val="24"/>
              </w:rPr>
              <w:t>đề nghị Quý Cơ quan loại trừ và không áp dụng quy định với các tài sản bảo đảm là quyền đòi nợ.</w:t>
            </w:r>
          </w:p>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Lý do:</w:t>
            </w:r>
            <w:r w:rsidRPr="00AF7630">
              <w:rPr>
                <w:rFonts w:ascii="Times New Roman" w:eastAsia="Times New Roman" w:hAnsi="Times New Roman" w:cs="Times New Roman"/>
                <w:b/>
                <w:bCs/>
                <w:i/>
                <w:iCs/>
                <w:sz w:val="24"/>
                <w:szCs w:val="24"/>
              </w:rPr>
              <w:t xml:space="preserve"> </w:t>
            </w:r>
            <w:r w:rsidRPr="00AF7630">
              <w:rPr>
                <w:rFonts w:ascii="Times New Roman" w:eastAsia="Times New Roman" w:hAnsi="Times New Roman" w:cs="Times New Roman"/>
                <w:bCs/>
                <w:iCs/>
                <w:sz w:val="24"/>
                <w:szCs w:val="24"/>
              </w:rPr>
              <w:t>Tài sản bảo đảm là quyền đòi nợ có biến động nhanh, gây tăng/giảm giá trị tài sản bảo đảm thường xuyên liên tục, thường phải định giá giảm giá trị Tài sản bảo đảm ngay khi phát sinh tiền từ quyền đòi nợ </w:t>
            </w:r>
            <w:r w:rsidRPr="00AF7630">
              <w:rPr>
                <w:rFonts w:ascii="Times New Roman" w:eastAsia="Times New Roman" w:hAnsi="Times New Roman" w:cs="Times New Roman"/>
                <w:bCs/>
                <w:iCs/>
                <w:sz w:val="24"/>
                <w:szCs w:val="24"/>
              </w:rPr>
              <w:sym w:font="Wingdings" w:char="F0F3"/>
            </w:r>
            <w:r w:rsidRPr="00AF7630">
              <w:rPr>
                <w:rFonts w:ascii="Times New Roman" w:eastAsia="Times New Roman" w:hAnsi="Times New Roman" w:cs="Times New Roman"/>
                <w:bCs/>
                <w:iCs/>
                <w:sz w:val="24"/>
                <w:szCs w:val="24"/>
              </w:rPr>
              <w:t> Đề nghị cho các TCTD chủ động định giá các loại tài sản bảo đảm này để đảm bảo kịp thời và an toàn cho hoạt động tín dụng.</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VPBank</w:t>
            </w:r>
          </w:p>
        </w:tc>
        <w:tc>
          <w:tcPr>
            <w:tcW w:w="4677" w:type="dxa"/>
          </w:tcPr>
          <w:p w:rsidR="005430DF" w:rsidRPr="00AF7630" w:rsidDel="00A06EBB"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TSBĐ là quyền đòi nợ cần được định giá bởi tổ chức có chức năng thẩm định giá theo quy định của pháp luật do có biến động.</w:t>
            </w:r>
          </w:p>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Del="00215F04" w:rsidRDefault="005430DF" w:rsidP="0001557F">
            <w:pPr>
              <w:jc w:val="both"/>
              <w:rPr>
                <w:rFonts w:ascii="Times New Roman" w:eastAsia="Times New Roman" w:hAnsi="Times New Roman" w:cs="Times New Roman"/>
                <w:b/>
                <w:bCs/>
                <w:iCs/>
                <w:sz w:val="24"/>
                <w:szCs w:val="24"/>
              </w:rPr>
            </w:pPr>
            <w:r w:rsidRPr="00AF7630">
              <w:rPr>
                <w:rFonts w:ascii="Times New Roman" w:eastAsia="Times New Roman" w:hAnsi="Times New Roman" w:cs="Times New Roman"/>
                <w:bCs/>
                <w:iCs/>
                <w:sz w:val="24"/>
                <w:szCs w:val="24"/>
              </w:rPr>
              <w:t>Tài sản bảo đảm là hợp đồng tiền gửi, sổ tiết kiệm, giấy tờ có giá thường có giá trị định giá rất rõ ràng, được xác định theo số dư/mệnh giá của tài sản nên việc yêu cầu định giá lại định kỳ là không cần thiết, không có ý nghĩa thực tế trong việc giảm thiểu rủi ro tín dụng và cũng gây tốn kém chi phí cho các TCTD. Do đó, đ</w:t>
            </w:r>
            <w:r w:rsidRPr="00AF7630">
              <w:rPr>
                <w:rFonts w:ascii="Times New Roman" w:hAnsi="Times New Roman" w:cs="Times New Roman"/>
                <w:bCs/>
                <w:sz w:val="24"/>
                <w:szCs w:val="24"/>
              </w:rPr>
              <w:t xml:space="preserve">ề nghị DTNĐ ghi rõ </w:t>
            </w:r>
            <w:r w:rsidRPr="00AF7630">
              <w:rPr>
                <w:rFonts w:ascii="Times New Roman" w:hAnsi="Times New Roman" w:cs="Times New Roman"/>
                <w:bCs/>
                <w:i/>
                <w:iCs/>
                <w:sz w:val="24"/>
                <w:szCs w:val="24"/>
              </w:rPr>
              <w:t>“trừ loại TSBĐ là tiền gửi/hợp đồng tiền gửi”</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hAnsi="Times New Roman" w:cs="Times New Roman"/>
                <w:bCs/>
                <w:sz w:val="24"/>
                <w:szCs w:val="24"/>
              </w:rPr>
              <w:t xml:space="preserve">Quân đội, HDBank, </w:t>
            </w:r>
            <w:r w:rsidRPr="00AF7630">
              <w:rPr>
                <w:rFonts w:ascii="Times New Roman" w:eastAsia="Times New Roman" w:hAnsi="Times New Roman" w:cs="Times New Roman"/>
                <w:sz w:val="24"/>
                <w:szCs w:val="24"/>
              </w:rPr>
              <w:t>VPBank, Sacombank</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bổ sung khoản 8 và chỉnh sửa khoản 10 Điều 5 dự thảo Nghị định như sau:</w:t>
            </w:r>
          </w:p>
          <w:p w:rsidR="005430DF" w:rsidRPr="00AF7630" w:rsidRDefault="005430DF" w:rsidP="00651BA0">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u w:val="single"/>
              </w:rPr>
              <w:t>8. Tiền gửi và chứng chỉ tiền gửi: S</w:t>
            </w:r>
            <w:r w:rsidRPr="00AF7630">
              <w:rPr>
                <w:rFonts w:ascii="Times New Roman" w:eastAsia="Times New Roman" w:hAnsi="Times New Roman" w:cs="Times New Roman"/>
                <w:i/>
                <w:sz w:val="24"/>
                <w:szCs w:val="24"/>
                <w:u w:val="single"/>
                <w:lang w:val="vi-VN"/>
              </w:rPr>
              <w:t xml:space="preserve">ố dư </w:t>
            </w:r>
            <w:r w:rsidRPr="00AF7630">
              <w:rPr>
                <w:rFonts w:ascii="Times New Roman" w:eastAsia="Times New Roman" w:hAnsi="Times New Roman" w:cs="Times New Roman"/>
                <w:i/>
                <w:sz w:val="24"/>
                <w:szCs w:val="24"/>
                <w:u w:val="single"/>
              </w:rPr>
              <w:t xml:space="preserve">gốc của </w:t>
            </w:r>
            <w:r w:rsidRPr="00AF7630">
              <w:rPr>
                <w:rFonts w:ascii="Times New Roman" w:eastAsia="Times New Roman" w:hAnsi="Times New Roman" w:cs="Times New Roman"/>
                <w:i/>
                <w:sz w:val="24"/>
                <w:szCs w:val="24"/>
                <w:u w:val="single"/>
                <w:lang w:val="vi-VN"/>
              </w:rPr>
              <w:t>tiền gửi</w:t>
            </w:r>
            <w:r w:rsidRPr="00AF7630">
              <w:rPr>
                <w:rFonts w:ascii="Times New Roman" w:eastAsia="Times New Roman" w:hAnsi="Times New Roman" w:cs="Times New Roman"/>
                <w:i/>
                <w:sz w:val="24"/>
                <w:szCs w:val="24"/>
                <w:u w:val="single"/>
              </w:rPr>
              <w:t xml:space="preserve">, </w:t>
            </w:r>
            <w:r w:rsidRPr="00AF7630">
              <w:rPr>
                <w:rFonts w:ascii="Times New Roman" w:eastAsia="Times New Roman" w:hAnsi="Times New Roman" w:cs="Times New Roman"/>
                <w:i/>
                <w:sz w:val="24"/>
                <w:szCs w:val="24"/>
                <w:u w:val="single"/>
                <w:lang w:val="vi-VN"/>
              </w:rPr>
              <w:t>chứng chỉ tiền gửi</w:t>
            </w:r>
            <w:r w:rsidRPr="00AF7630">
              <w:rPr>
                <w:rFonts w:ascii="Times New Roman" w:eastAsia="Times New Roman" w:hAnsi="Times New Roman" w:cs="Times New Roman"/>
                <w:i/>
                <w:sz w:val="24"/>
                <w:szCs w:val="24"/>
                <w:u w:val="single"/>
              </w:rPr>
              <w:t xml:space="preserve"> </w:t>
            </w:r>
            <w:r w:rsidRPr="00AF7630">
              <w:rPr>
                <w:rFonts w:ascii="Times New Roman" w:eastAsia="Times New Roman" w:hAnsi="Times New Roman" w:cs="Times New Roman"/>
                <w:i/>
                <w:sz w:val="24"/>
                <w:szCs w:val="24"/>
                <w:u w:val="single"/>
                <w:lang w:val="vi-VN"/>
              </w:rPr>
              <w:t xml:space="preserve">tại </w:t>
            </w:r>
            <w:r w:rsidRPr="00AF7630">
              <w:rPr>
                <w:rFonts w:ascii="Times New Roman" w:eastAsia="Times New Roman" w:hAnsi="Times New Roman" w:cs="Times New Roman"/>
                <w:i/>
                <w:sz w:val="24"/>
                <w:szCs w:val="24"/>
                <w:u w:val="single"/>
              </w:rPr>
              <w:t xml:space="preserve">ngày gần nhất trước </w:t>
            </w:r>
            <w:r w:rsidRPr="00AF7630">
              <w:rPr>
                <w:rFonts w:ascii="Times New Roman" w:eastAsia="Times New Roman" w:hAnsi="Times New Roman" w:cs="Times New Roman"/>
                <w:i/>
                <w:sz w:val="24"/>
                <w:szCs w:val="24"/>
                <w:u w:val="single"/>
                <w:lang w:val="vi-VN"/>
              </w:rPr>
              <w:t>ngày trích lập dự phòng</w:t>
            </w:r>
            <w:r w:rsidRPr="00AF7630">
              <w:rPr>
                <w:rFonts w:ascii="Times New Roman" w:eastAsia="Times New Roman" w:hAnsi="Times New Roman" w:cs="Times New Roman"/>
                <w:i/>
                <w:sz w:val="24"/>
                <w:szCs w:val="24"/>
                <w:u w:val="single"/>
              </w:rPr>
              <w:t xml:space="preserve"> cụ thể.</w:t>
            </w:r>
          </w:p>
          <w:p w:rsidR="005430DF" w:rsidRPr="00AF7630" w:rsidDel="00D25713" w:rsidRDefault="005430DF" w:rsidP="00651BA0">
            <w:pPr>
              <w:jc w:val="both"/>
              <w:rPr>
                <w:rFonts w:ascii="Times New Roman" w:eastAsia="Times New Roman" w:hAnsi="Times New Roman" w:cs="Times New Roman"/>
                <w:b/>
                <w:sz w:val="24"/>
                <w:szCs w:val="24"/>
              </w:rPr>
            </w:pPr>
            <w:r w:rsidRPr="00AF7630">
              <w:rPr>
                <w:rFonts w:ascii="Times New Roman" w:eastAsia="Times New Roman" w:hAnsi="Times New Roman" w:cs="Times New Roman"/>
                <w:i/>
                <w:sz w:val="24"/>
                <w:szCs w:val="24"/>
              </w:rPr>
              <w:t>10.</w:t>
            </w:r>
            <w:r w:rsidRPr="00AF7630">
              <w:rPr>
                <w:rFonts w:ascii="Times New Roman" w:eastAsia="Times New Roman" w:hAnsi="Times New Roman" w:cs="Times New Roman"/>
                <w:i/>
                <w:sz w:val="24"/>
                <w:szCs w:val="24"/>
                <w:lang w:val="vi-VN"/>
              </w:rPr>
              <w:t xml:space="preserve"> Việc xác định giá</w:t>
            </w:r>
            <w:r w:rsidRPr="00AF7630">
              <w:rPr>
                <w:rFonts w:ascii="Times New Roman" w:eastAsia="Times New Roman" w:hAnsi="Times New Roman" w:cs="Times New Roman"/>
                <w:i/>
                <w:sz w:val="24"/>
                <w:szCs w:val="24"/>
              </w:rPr>
              <w:t xml:space="preserve"> trị</w:t>
            </w:r>
            <w:r w:rsidRPr="00AF7630">
              <w:rPr>
                <w:rFonts w:ascii="Times New Roman" w:eastAsia="Times New Roman" w:hAnsi="Times New Roman" w:cs="Times New Roman"/>
                <w:i/>
                <w:sz w:val="24"/>
                <w:szCs w:val="24"/>
                <w:lang w:val="vi-VN"/>
              </w:rPr>
              <w:t xml:space="preserve"> của tài sản bảo đảm để khấu trừ khi tính số tiền dự phòng cụ thể đối với</w:t>
            </w:r>
            <w:r w:rsidRPr="00AF7630">
              <w:rPr>
                <w:rFonts w:ascii="Times New Roman" w:eastAsia="Times New Roman" w:hAnsi="Times New Roman" w:cs="Times New Roman"/>
                <w:i/>
                <w:sz w:val="24"/>
                <w:szCs w:val="24"/>
              </w:rPr>
              <w:t xml:space="preserve"> từng tài sản bảo đảm là</w:t>
            </w:r>
            <w:r w:rsidRPr="00AF7630">
              <w:rPr>
                <w:rFonts w:ascii="Times New Roman" w:eastAsia="Times New Roman" w:hAnsi="Times New Roman" w:cs="Times New Roman"/>
                <w:i/>
                <w:sz w:val="24"/>
                <w:szCs w:val="24"/>
                <w:lang w:val="vi-VN"/>
              </w:rPr>
              <w:t xml:space="preserve"> động sản, bất </w:t>
            </w:r>
            <w:r w:rsidRPr="00AF7630">
              <w:rPr>
                <w:rFonts w:ascii="Times New Roman" w:eastAsia="Times New Roman" w:hAnsi="Times New Roman" w:cs="Times New Roman"/>
                <w:i/>
                <w:sz w:val="24"/>
                <w:szCs w:val="24"/>
                <w:lang w:val="vi-VN"/>
              </w:rPr>
              <w:lastRenderedPageBreak/>
              <w:t xml:space="preserve">động sản </w:t>
            </w:r>
            <w:r w:rsidRPr="00AF7630">
              <w:rPr>
                <w:rFonts w:ascii="Times New Roman" w:eastAsia="Times New Roman" w:hAnsi="Times New Roman" w:cs="Times New Roman"/>
                <w:i/>
                <w:sz w:val="24"/>
                <w:szCs w:val="24"/>
              </w:rPr>
              <w:t>hoặc</w:t>
            </w:r>
            <w:r w:rsidRPr="00AF7630">
              <w:rPr>
                <w:rFonts w:ascii="Times New Roman" w:eastAsia="Times New Roman" w:hAnsi="Times New Roman" w:cs="Times New Roman"/>
                <w:i/>
                <w:sz w:val="24"/>
                <w:szCs w:val="24"/>
                <w:lang w:val="vi-VN"/>
              </w:rPr>
              <w:t xml:space="preserve"> các loại tài sản bảo đảm khác</w:t>
            </w:r>
            <w:r w:rsidRPr="00AF7630">
              <w:rPr>
                <w:rFonts w:ascii="Times New Roman" w:eastAsia="Times New Roman" w:hAnsi="Times New Roman" w:cs="Times New Roman"/>
                <w:i/>
                <w:sz w:val="24"/>
                <w:szCs w:val="24"/>
              </w:rPr>
              <w:t xml:space="preserve">  (trừ </w:t>
            </w:r>
            <w:r w:rsidRPr="00AF7630">
              <w:rPr>
                <w:rFonts w:ascii="Times New Roman" w:eastAsia="Times New Roman" w:hAnsi="Times New Roman" w:cs="Times New Roman"/>
                <w:i/>
                <w:sz w:val="24"/>
                <w:szCs w:val="24"/>
                <w:lang w:val="vi-VN"/>
              </w:rPr>
              <w:t>tài sản quy định tại</w:t>
            </w:r>
            <w:r w:rsidRPr="00AF7630">
              <w:rPr>
                <w:rFonts w:ascii="Times New Roman" w:eastAsia="Times New Roman" w:hAnsi="Times New Roman" w:cs="Times New Roman"/>
                <w:i/>
                <w:sz w:val="24"/>
                <w:szCs w:val="24"/>
              </w:rPr>
              <w:t xml:space="preserve"> các</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 xml:space="preserve">khoản 1, 2, 3, 4, 5, 6, 7, </w:t>
            </w:r>
            <w:r w:rsidRPr="00AF7630">
              <w:rPr>
                <w:rFonts w:ascii="Times New Roman" w:eastAsia="Times New Roman" w:hAnsi="Times New Roman" w:cs="Times New Roman"/>
                <w:i/>
                <w:sz w:val="24"/>
                <w:szCs w:val="24"/>
                <w:u w:val="single"/>
              </w:rPr>
              <w:t>8</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rPr>
              <w:t>Điều</w:t>
            </w:r>
            <w:r w:rsidRPr="00AF7630">
              <w:rPr>
                <w:rFonts w:ascii="Times New Roman" w:eastAsia="Times New Roman" w:hAnsi="Times New Roman" w:cs="Times New Roman"/>
                <w:i/>
                <w:sz w:val="24"/>
                <w:szCs w:val="24"/>
                <w:lang w:val="vi-VN"/>
              </w:rPr>
              <w:t xml:space="preserve"> này</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được thực hiện như sau:</w:t>
            </w:r>
            <w:r w:rsidRPr="00AF7630">
              <w:rPr>
                <w:rFonts w:ascii="Times New Roman" w:eastAsia="Times New Roman" w:hAnsi="Times New Roman" w:cs="Times New Roman"/>
                <w:i/>
                <w:sz w:val="24"/>
                <w:szCs w:val="24"/>
              </w:rPr>
              <w:t>…”</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sidDel="00F23D68">
              <w:rPr>
                <w:rFonts w:ascii="Times New Roman" w:hAnsi="Times New Roman" w:cs="Times New Roman"/>
                <w:b/>
                <w:sz w:val="24"/>
                <w:szCs w:val="24"/>
              </w:rPr>
              <w:t xml:space="preserve"> </w:t>
            </w:r>
            <w:r w:rsidRPr="00AF7630">
              <w:rPr>
                <w:rFonts w:ascii="Times New Roman" w:hAnsi="Times New Roman" w:cs="Times New Roman"/>
                <w:bCs/>
                <w:sz w:val="24"/>
                <w:szCs w:val="24"/>
              </w:rPr>
              <w:t xml:space="preserve">Đề nghị làm rõ việc định giá để trích lập dự phòng với khoản &gt;200 tỷ chỉ dùng để áp dụng trích lập dự phòng, còn khi để xác định giá trị khoản vay TCTD được áp dụng theo quy định nội bộ. </w:t>
            </w:r>
          </w:p>
        </w:tc>
        <w:tc>
          <w:tcPr>
            <w:tcW w:w="2268" w:type="dxa"/>
          </w:tcPr>
          <w:p w:rsidR="005430DF" w:rsidRPr="00AF7630" w:rsidRDefault="005430DF" w:rsidP="0001557F">
            <w:pPr>
              <w:contextualSpacing/>
              <w:jc w:val="both"/>
              <w:rPr>
                <w:rFonts w:ascii="Times New Roman" w:hAnsi="Times New Roman" w:cs="Times New Roman"/>
                <w:bCs/>
                <w:sz w:val="24"/>
                <w:szCs w:val="24"/>
              </w:rPr>
            </w:pPr>
            <w:r w:rsidRPr="00AF7630">
              <w:rPr>
                <w:rFonts w:ascii="Times New Roman" w:hAnsi="Times New Roman" w:cs="Times New Roman"/>
                <w:bCs/>
                <w:sz w:val="24"/>
                <w:szCs w:val="24"/>
              </w:rPr>
              <w:t>Ngân hàng TMCP Quân đội, HDBank</w:t>
            </w:r>
          </w:p>
        </w:tc>
        <w:tc>
          <w:tcPr>
            <w:tcW w:w="4677" w:type="dxa"/>
          </w:tcPr>
          <w:p w:rsidR="005430DF" w:rsidRPr="00AF7630" w:rsidRDefault="005430DF" w:rsidP="00191E3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Quy định về định giá đối với TSBĐ tại Điều 5 Dự thảo Nghị định để </w:t>
            </w:r>
            <w:r w:rsidRPr="00AF7630">
              <w:rPr>
                <w:rFonts w:ascii="Times New Roman" w:hAnsi="Times New Roman" w:cs="Times New Roman"/>
                <w:bCs/>
                <w:sz w:val="24"/>
                <w:szCs w:val="24"/>
              </w:rPr>
              <w:t xml:space="preserve">áp dụng trích lập dự phòng theo quy định tại </w:t>
            </w:r>
            <w:r w:rsidRPr="00AF7630">
              <w:rPr>
                <w:rFonts w:ascii="Times New Roman" w:eastAsia="Times New Roman" w:hAnsi="Times New Roman" w:cs="Times New Roman"/>
                <w:sz w:val="24"/>
                <w:szCs w:val="24"/>
              </w:rPr>
              <w:t xml:space="preserve">Dự thảo Nghị định. Việc </w:t>
            </w:r>
            <w:r w:rsidRPr="00AF7630">
              <w:rPr>
                <w:rFonts w:ascii="Times New Roman" w:hAnsi="Times New Roman" w:cs="Times New Roman"/>
                <w:bCs/>
                <w:sz w:val="24"/>
                <w:szCs w:val="24"/>
              </w:rPr>
              <w:t>xác định giá trị TSBĐ để xác định khoản vay, TCTD thực hiện theo quy định của pháp luật về cho vay.</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contextualSpacing/>
              <w:jc w:val="both"/>
              <w:rPr>
                <w:rFonts w:ascii="Times New Roman" w:hAnsi="Times New Roman" w:cs="Times New Roman"/>
                <w:b/>
                <w:sz w:val="24"/>
                <w:szCs w:val="24"/>
              </w:rPr>
            </w:pPr>
            <w:r w:rsidRPr="00AF7630">
              <w:rPr>
                <w:rFonts w:ascii="Times New Roman" w:hAnsi="Times New Roman" w:cs="Times New Roman"/>
                <w:bCs/>
                <w:sz w:val="24"/>
                <w:szCs w:val="24"/>
              </w:rPr>
              <w:t xml:space="preserve">DTNĐ quy định phải thuê tổ chức có chức năng thẩm định giá theo quy định của pháp luật để xác định giá trị TSBĐ được khấu trừ </w:t>
            </w:r>
            <w:r w:rsidRPr="00AF7630">
              <w:rPr>
                <w:rFonts w:ascii="Times New Roman" w:hAnsi="Times New Roman" w:cs="Times New Roman"/>
                <w:bCs/>
                <w:i/>
                <w:iCs/>
                <w:sz w:val="24"/>
                <w:szCs w:val="24"/>
              </w:rPr>
              <w:t xml:space="preserve">“..tại thời điểm cuối năm tài chính..” </w:t>
            </w:r>
            <w:r w:rsidRPr="00AF7630">
              <w:rPr>
                <w:rFonts w:ascii="Times New Roman" w:hAnsi="Times New Roman" w:cs="Times New Roman"/>
                <w:bCs/>
                <w:sz w:val="24"/>
                <w:szCs w:val="24"/>
              </w:rPr>
              <w:t>vậy có được hiểu thời điểm trích lập dự phòng trong tháng được áp dụng xác định giá trị TSBĐ khấu trừ theo quy định nội bộ hay không vì việc định giá độc lập gây tốn kém chi phí.</w:t>
            </w:r>
          </w:p>
        </w:tc>
        <w:tc>
          <w:tcPr>
            <w:tcW w:w="2268" w:type="dxa"/>
          </w:tcPr>
          <w:p w:rsidR="005430DF" w:rsidRPr="00AF7630" w:rsidRDefault="005430DF" w:rsidP="0001557F">
            <w:pPr>
              <w:contextualSpacing/>
              <w:jc w:val="both"/>
              <w:rPr>
                <w:rFonts w:ascii="Times New Roman" w:hAnsi="Times New Roman" w:cs="Times New Roman"/>
                <w:bCs/>
                <w:sz w:val="24"/>
                <w:szCs w:val="24"/>
              </w:rPr>
            </w:pPr>
            <w:r w:rsidRPr="00AF7630">
              <w:rPr>
                <w:rFonts w:ascii="Times New Roman" w:hAnsi="Times New Roman" w:cs="Times New Roman"/>
                <w:bCs/>
                <w:sz w:val="24"/>
                <w:szCs w:val="24"/>
              </w:rPr>
              <w:t>Ngân hàng TMCP Quân đội, HDBank</w:t>
            </w:r>
          </w:p>
        </w:tc>
        <w:tc>
          <w:tcPr>
            <w:tcW w:w="4677"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Quy định tại điểm a khoản 10 Điều 5 được hiểu tại thời điểm cuối năm tài chính, giá trị TSBĐ để tính khấu trừ phải được định giá bởi tổ chức có chức năng thảm định định giá (theo chứng thư thẩm định giá còn hiệu lực).</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để đảm bảo rõ ràng, Dự thảo Nghị định được chỉnh sửa theo hướng làm rõ chứng thư thẩm định giá còn hiệu lực và TCTD, chi nhánh NHNg phải thuê tổ chức có chức năng thẩm định giá theo quy định của pháp luật để xác định giá trị TSBĐ được khấu trừ tại ngày trích lập dự phòng cụ thể tại điểm a khoản 10 Điều 5 như sau:</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Kết quả định giá tài sản bảo đảm của tổ chức có chức năng thẩm định giá theo quy định của pháp luật </w:t>
            </w:r>
            <w:r w:rsidRPr="00AF7630">
              <w:rPr>
                <w:rFonts w:ascii="Times New Roman" w:eastAsia="Times New Roman" w:hAnsi="Times New Roman" w:cs="Times New Roman"/>
                <w:i/>
                <w:sz w:val="24"/>
                <w:szCs w:val="24"/>
                <w:u w:val="single"/>
              </w:rPr>
              <w:t>còn hiệu lực tại ngày trích lập dự phòng cụ thể</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được tổ chức tín dụng, chi nhánh ngân hàng nước ngoài sử dụng để xác định giá trị tài sản bảo đảm được khấu trừ</w:t>
            </w:r>
            <w:r w:rsidRPr="00AF7630">
              <w:rPr>
                <w:rFonts w:ascii="Times New Roman" w:eastAsia="Times New Roman" w:hAnsi="Times New Roman" w:cs="Times New Roman"/>
                <w:i/>
                <w:sz w:val="24"/>
                <w:szCs w:val="24"/>
              </w:rPr>
              <w:t>.”</w:t>
            </w:r>
          </w:p>
          <w:p w:rsidR="005430DF" w:rsidRPr="00AF7630" w:rsidRDefault="005430DF" w:rsidP="00AF7630">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Quy định tại điểm b khoản 10 Điều 5 được hiểu tại các thời điểm khác thời điểm cuối năm tài chính quy định tại điểm a khoản 10 Điều 5, các TCTD xác định giá trị TSBĐ để tính khấu trừ theo quy định nội bộ của TCTD.</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Thông thường, kết quả thẩm định giá của tổ chức có chức năng thẩm định giá chỉ có hiệu lực trong thời hạn 06 tháng. Như vậy, khi hết thời hạn 06 tháng thì tổ chức tín dụng có phải thuê tổ chức có chức năng thẩm định giá để thẩm định lại các tài sản này khi tính số tiền dự phòng hay không? Nếu thực hiện định kỳ 06 tháng/lần sẽ phát sinh nhiều chi phí cho tổ chức tín dụng vì tài sản có trị giá lớn nên phí định giá cao.</w:t>
            </w:r>
          </w:p>
        </w:tc>
        <w:tc>
          <w:tcPr>
            <w:tcW w:w="2268" w:type="dxa"/>
          </w:tcPr>
          <w:p w:rsidR="005430DF" w:rsidRPr="00AF7630" w:rsidRDefault="005430DF" w:rsidP="0001557F">
            <w:pPr>
              <w:contextualSpacing/>
              <w:jc w:val="both"/>
              <w:rPr>
                <w:rFonts w:ascii="Times New Roman" w:hAnsi="Times New Roman" w:cs="Times New Roman"/>
                <w:bCs/>
                <w:sz w:val="24"/>
                <w:szCs w:val="24"/>
              </w:rPr>
            </w:pPr>
            <w:r w:rsidRPr="00AF7630">
              <w:rPr>
                <w:rFonts w:ascii="Times New Roman" w:hAnsi="Times New Roman" w:cs="Times New Roman"/>
                <w:sz w:val="24"/>
                <w:szCs w:val="24"/>
              </w:rPr>
              <w:t>SAIGONBANK</w:t>
            </w:r>
          </w:p>
        </w:tc>
        <w:tc>
          <w:tcPr>
            <w:tcW w:w="4677" w:type="dxa"/>
            <w:vMerge/>
          </w:tcPr>
          <w:p w:rsidR="005430DF" w:rsidRPr="00AF7630" w:rsidRDefault="005430DF" w:rsidP="0001557F">
            <w:pPr>
              <w:jc w:val="both"/>
              <w:rPr>
                <w:rFonts w:ascii="Times New Roman" w:eastAsia="Times New Roman" w:hAnsi="Times New Roman" w:cs="Times New Roman"/>
                <w:b/>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Đề nghị quy định rõ về trường hợp định giá lại định kỳ tài sản bảo đảm tại Khoản này.</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iCs/>
                <w:sz w:val="24"/>
                <w:szCs w:val="24"/>
              </w:rPr>
              <w:t>Theo quy định về Chuẩn mực thẩm định giá thì Chứng thư thẩm định giá chỉ có giá trị trong thời hạn tối đa 06 tháng kể từ ngày phát hành. Đề nghị làm rõ sau khi chứng thư thẩm định giá hết hạn thì tổ chức tín dụng có thể tự định giá lại tài sản bảo đảm hay bắt buộc phải thuê tổ chức thẩm định giá để định giá lại tài sản bảo đảm tại Khoản này.</w:t>
            </w:r>
          </w:p>
        </w:tc>
        <w:tc>
          <w:tcPr>
            <w:tcW w:w="2268" w:type="dxa"/>
          </w:tcPr>
          <w:p w:rsidR="005430DF" w:rsidRPr="00AF7630" w:rsidRDefault="005430DF" w:rsidP="0001557F">
            <w:pPr>
              <w:contextualSpacing/>
              <w:jc w:val="both"/>
              <w:rPr>
                <w:rFonts w:ascii="Times New Roman" w:hAnsi="Times New Roman" w:cs="Times New Roman"/>
                <w:sz w:val="24"/>
                <w:szCs w:val="24"/>
              </w:rPr>
            </w:pPr>
            <w:r w:rsidRPr="00AF7630">
              <w:rPr>
                <w:rFonts w:ascii="Times New Roman" w:eastAsia="Times New Roman" w:hAnsi="Times New Roman" w:cs="Times New Roman"/>
                <w:sz w:val="24"/>
                <w:szCs w:val="24"/>
              </w:rPr>
              <w:t>MSB</w:t>
            </w:r>
          </w:p>
        </w:tc>
        <w:tc>
          <w:tcPr>
            <w:tcW w:w="4677" w:type="dxa"/>
            <w:vMerge/>
          </w:tcPr>
          <w:p w:rsidR="005430DF" w:rsidRPr="00AF7630" w:rsidRDefault="005430DF" w:rsidP="0001557F">
            <w:pPr>
              <w:jc w:val="both"/>
              <w:rPr>
                <w:rFonts w:ascii="Times New Roman" w:eastAsia="Times New Roman" w:hAnsi="Times New Roman" w:cs="Times New Roman"/>
                <w:b/>
                <w:sz w:val="24"/>
                <w:szCs w:val="24"/>
              </w:rPr>
            </w:pP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xml:space="preserve">Kiến nghị Ban soạn thảo cân nhắc quy định rõ giá trị tài sản này căn cứ theo giá trị định giá gần nhất của </w:t>
            </w:r>
            <w:r w:rsidRPr="00AF7630">
              <w:rPr>
                <w:rFonts w:ascii="Times New Roman" w:eastAsia="Times New Roman" w:hAnsi="Times New Roman" w:cs="Times New Roman"/>
                <w:bCs/>
                <w:iCs/>
                <w:sz w:val="24"/>
                <w:szCs w:val="24"/>
              </w:rPr>
              <w:lastRenderedPageBreak/>
              <w:t>PGBank và sửa lại nội dung này theo hướng: </w:t>
            </w:r>
            <w:r w:rsidRPr="00AF7630">
              <w:rPr>
                <w:rFonts w:ascii="Times New Roman" w:eastAsia="Times New Roman" w:hAnsi="Times New Roman" w:cs="Times New Roman"/>
                <w:bCs/>
                <w:i/>
                <w:iCs/>
                <w:sz w:val="24"/>
                <w:szCs w:val="24"/>
              </w:rPr>
              <w:t>“Tài sản bảo đảm mà </w:t>
            </w:r>
            <w:r w:rsidRPr="00AF7630">
              <w:rPr>
                <w:rFonts w:ascii="Times New Roman" w:eastAsia="Times New Roman" w:hAnsi="Times New Roman" w:cs="Times New Roman"/>
                <w:b/>
                <w:bCs/>
                <w:i/>
                <w:iCs/>
                <w:sz w:val="24"/>
                <w:szCs w:val="24"/>
              </w:rPr>
              <w:t>theo giá trị định giá gần nhất</w:t>
            </w:r>
            <w:r w:rsidRPr="00AF7630">
              <w:rPr>
                <w:rFonts w:ascii="Times New Roman" w:eastAsia="Times New Roman" w:hAnsi="Times New Roman" w:cs="Times New Roman"/>
                <w:bCs/>
                <w:i/>
                <w:iCs/>
                <w:sz w:val="24"/>
                <w:szCs w:val="24"/>
              </w:rPr>
              <w:t> của tổ chức tín dụng, chi nhánh ngân hàng nước ngoài có giá trị từ </w:t>
            </w:r>
            <w:r w:rsidRPr="00AF7630">
              <w:rPr>
                <w:rFonts w:ascii="Times New Roman" w:eastAsia="Times New Roman" w:hAnsi="Times New Roman" w:cs="Times New Roman"/>
                <w:b/>
                <w:bCs/>
                <w:i/>
                <w:iCs/>
                <w:sz w:val="24"/>
                <w:szCs w:val="24"/>
              </w:rPr>
              <w:t>50 tỷ đồng</w:t>
            </w:r>
            <w:r w:rsidRPr="00AF7630">
              <w:rPr>
                <w:rFonts w:ascii="Times New Roman" w:eastAsia="Times New Roman" w:hAnsi="Times New Roman" w:cs="Times New Roman"/>
                <w:bCs/>
                <w:i/>
                <w:iCs/>
                <w:sz w:val="24"/>
                <w:szCs w:val="24"/>
              </w:rPr>
              <w:t> trở lên đối với khoản nợ của khách hàng là người có liên quan của tổ chức tín dụng, chi nhánh ngân hàng nước ngoài và các đối tượng bị hạn chế cấp tín dụng theo quy định tại Điều 135 Luật Các tổ chức tín dụng; tài sản bảo đảm mà tổ chức tín dụng, chi nhánh ngân hàng nước ngoài định giá để khấu trừ từ </w:t>
            </w:r>
            <w:r w:rsidRPr="00AF7630">
              <w:rPr>
                <w:rFonts w:ascii="Times New Roman" w:eastAsia="Times New Roman" w:hAnsi="Times New Roman" w:cs="Times New Roman"/>
                <w:b/>
                <w:bCs/>
                <w:i/>
                <w:iCs/>
                <w:sz w:val="24"/>
                <w:szCs w:val="24"/>
              </w:rPr>
              <w:t>200 tỷ đồng trở lên.”</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PGBank</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đã chỉnh sửa quy định này như sau:</w:t>
            </w:r>
          </w:p>
          <w:p w:rsidR="005430DF" w:rsidRPr="00AF7630" w:rsidRDefault="005430DF"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lastRenderedPageBreak/>
              <w:t>“…T</w:t>
            </w:r>
            <w:r w:rsidRPr="00AF7630">
              <w:rPr>
                <w:rFonts w:ascii="Times New Roman" w:eastAsia="Times New Roman" w:hAnsi="Times New Roman" w:cs="Times New Roman"/>
                <w:i/>
                <w:sz w:val="24"/>
                <w:szCs w:val="24"/>
                <w:lang w:val="vi-VN"/>
              </w:rPr>
              <w:t>ài sản bảo đảm</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 xml:space="preserve">mà tổ chức tín dụng, chi nhánh ngân hàng nước ngoài </w:t>
            </w:r>
            <w:r w:rsidRPr="00AF7630">
              <w:rPr>
                <w:rFonts w:ascii="Times New Roman" w:eastAsia="Times New Roman" w:hAnsi="Times New Roman" w:cs="Times New Roman"/>
                <w:i/>
                <w:sz w:val="24"/>
                <w:szCs w:val="24"/>
                <w:u w:val="single"/>
              </w:rPr>
              <w:t xml:space="preserve">xác định giá trị tài sản bảo đảm để tính khấu trừ </w:t>
            </w:r>
            <w:r w:rsidRPr="00AF7630">
              <w:rPr>
                <w:rFonts w:ascii="Times New Roman" w:eastAsia="Times New Roman" w:hAnsi="Times New Roman" w:cs="Times New Roman"/>
                <w:i/>
                <w:sz w:val="24"/>
                <w:szCs w:val="24"/>
                <w:u w:val="single"/>
                <w:lang w:val="vi-VN"/>
              </w:rPr>
              <w:t>từ 50 tỷ đồng</w:t>
            </w:r>
            <w:r w:rsidRPr="00AF7630">
              <w:rPr>
                <w:rFonts w:ascii="Times New Roman" w:eastAsia="Times New Roman" w:hAnsi="Times New Roman" w:cs="Times New Roman"/>
                <w:i/>
                <w:sz w:val="24"/>
                <w:szCs w:val="24"/>
                <w:lang w:val="vi-VN"/>
              </w:rPr>
              <w:t xml:space="preserve"> trở lên đối với khoản nợ của khách hàng là người có liên quan của tổ chức tín dụng, chi nhánh ngân hàng nước ngoài và các đối tượng bị hạn chế cấp tín dụng theo quy định tại Điều </w:t>
            </w:r>
            <w:r w:rsidRPr="00AF7630">
              <w:rPr>
                <w:rFonts w:ascii="Times New Roman" w:eastAsia="Times New Roman" w:hAnsi="Times New Roman" w:cs="Times New Roman"/>
                <w:i/>
                <w:sz w:val="24"/>
                <w:szCs w:val="24"/>
              </w:rPr>
              <w:t>135</w:t>
            </w:r>
            <w:r w:rsidRPr="00AF7630">
              <w:rPr>
                <w:rFonts w:ascii="Times New Roman" w:eastAsia="Times New Roman" w:hAnsi="Times New Roman" w:cs="Times New Roman"/>
                <w:i/>
                <w:sz w:val="24"/>
                <w:szCs w:val="24"/>
                <w:lang w:val="vi-VN"/>
              </w:rPr>
              <w:t xml:space="preserve"> Luật Các tổ chức tín dụng; </w:t>
            </w:r>
            <w:r w:rsidRPr="00AF7630">
              <w:rPr>
                <w:rFonts w:ascii="Times New Roman" w:eastAsia="Times New Roman" w:hAnsi="Times New Roman" w:cs="Times New Roman"/>
                <w:i/>
                <w:sz w:val="24"/>
                <w:szCs w:val="24"/>
              </w:rPr>
              <w:t>t</w:t>
            </w:r>
            <w:r w:rsidRPr="00AF7630">
              <w:rPr>
                <w:rFonts w:ascii="Times New Roman" w:eastAsia="Times New Roman" w:hAnsi="Times New Roman" w:cs="Times New Roman"/>
                <w:i/>
                <w:sz w:val="24"/>
                <w:szCs w:val="24"/>
                <w:lang w:val="vi-VN"/>
              </w:rPr>
              <w:t xml:space="preserve">ài sản bảo đảm mà tổ chức tín dụng, chi nhánh ngân hàng nước ngoài </w:t>
            </w:r>
            <w:r w:rsidRPr="00AF7630">
              <w:rPr>
                <w:rFonts w:ascii="Times New Roman" w:eastAsia="Times New Roman" w:hAnsi="Times New Roman" w:cs="Times New Roman"/>
                <w:i/>
                <w:sz w:val="24"/>
                <w:szCs w:val="24"/>
                <w:u w:val="single"/>
              </w:rPr>
              <w:t xml:space="preserve">xác định giá trị tài sản bảo đảm để tính khấu trừ </w:t>
            </w:r>
            <w:r w:rsidRPr="00AF7630">
              <w:rPr>
                <w:rFonts w:ascii="Times New Roman" w:eastAsia="Times New Roman" w:hAnsi="Times New Roman" w:cs="Times New Roman"/>
                <w:i/>
                <w:sz w:val="24"/>
                <w:szCs w:val="24"/>
                <w:u w:val="single"/>
                <w:lang w:val="vi-VN"/>
              </w:rPr>
              <w:t>từ 200 tỷ đồng trở lên</w:t>
            </w:r>
            <w:r w:rsidRPr="00AF7630">
              <w:rPr>
                <w:rFonts w:ascii="Times New Roman" w:eastAsia="Times New Roman" w:hAnsi="Times New Roman" w:cs="Times New Roman"/>
                <w:i/>
                <w:sz w:val="24"/>
                <w:szCs w:val="24"/>
              </w:rPr>
              <w:t>…”</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TCTD, chi nhánh NHNg căn cứ quy định để thực hiện.</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 xml:space="preserve">Đề nghị sửa thành: “… </w:t>
            </w:r>
            <w:r w:rsidRPr="00AF7630">
              <w:rPr>
                <w:rFonts w:ascii="Times New Roman" w:eastAsia="Times New Roman" w:hAnsi="Times New Roman" w:cs="Times New Roman"/>
                <w:bCs/>
                <w:i/>
                <w:iCs/>
                <w:sz w:val="24"/>
                <w:szCs w:val="24"/>
              </w:rPr>
              <w:t>các khoản 1, 2, 3, 4, 5 và 6 Điều này …”</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KEXIM VLC</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tại Dự thảo Nghị định là phù hợp</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t xml:space="preserve">1. </w:t>
            </w:r>
            <w:r w:rsidRPr="00AF7630">
              <w:rPr>
                <w:rFonts w:ascii="Times New Roman" w:eastAsia="Times New Roman" w:hAnsi="Times New Roman" w:cs="Times New Roman"/>
                <w:bCs/>
                <w:sz w:val="24"/>
                <w:szCs w:val="24"/>
              </w:rPr>
              <w:t>Trong tình huống trị giá thẩm định của tổ chức có chức năng thẩm định giá cao hơn trị giá thẩm định trên Hợp đồng bảo đảm thì tổ chức tín dụng phải thực hiện ký kết lại Hợp đồng bảo đảm và thực hiện lại các giao dịch bảo đảm tài sản trước khi tính khấu trừ hay tổ chức tín dụng được quyền sử dụng kết quả thẩm định giá của tổ chức có chức năng thẩm định giá để xác định giá trị của tài sản bảo đảm để khấu trừ khi tính dự phòng mà không cần thực hiện lại thủ tục giao dịch bảo đảm đối với tài sản bảo đảm để cập nhật theo trị giá mới. Tương tự đối với trường hợp trị giá giảm.</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t>2.</w:t>
            </w:r>
            <w:r w:rsidRPr="00AF7630">
              <w:rPr>
                <w:rFonts w:ascii="Times New Roman" w:eastAsia="Times New Roman" w:hAnsi="Times New Roman" w:cs="Times New Roman"/>
                <w:bCs/>
                <w:sz w:val="24"/>
                <w:szCs w:val="24"/>
              </w:rPr>
              <w:t xml:space="preserve"> Trường hợp tài sản bảo đảm là tài sản của Bên thứ 3 bảo đảm cho khách hàng vay thì nghĩa vụ về tài sản của Bên thứ 3 chỉ giới hạn trong phạm vi nghĩa vụ được bảo đảm của tài sản đã thỏa thuận trên Hợp đồng bảo đảm nên cho dù trị giá tài sản có tăng, nếu không thực hiện lại thủ tục giao dịch bảo đảm đối với tài sản bảo đảm theo trị giá mới tăng thì tổ chức tín dụng cũng không có quyền thu hồi từ tài sản với số tiền cao hơn nghĩa vụ tại Hợp đồng bảo đảm. Như vậy, việc sử dụng trị giá tài sản cao để tính khấu trừ là không phù hợp trong tình huống này. Kính đề nghị Đơn vị </w:t>
            </w:r>
            <w:r w:rsidRPr="00AF7630">
              <w:rPr>
                <w:rFonts w:ascii="Times New Roman" w:eastAsia="Times New Roman" w:hAnsi="Times New Roman" w:cs="Times New Roman"/>
                <w:bCs/>
                <w:sz w:val="24"/>
                <w:szCs w:val="24"/>
              </w:rPr>
              <w:lastRenderedPageBreak/>
              <w:t>soạn thảo xem xét bổ sung thêm các nội dung để quy định rõ các trường hợp này.</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lastRenderedPageBreak/>
              <w:t>SAIGONBANK</w:t>
            </w:r>
          </w:p>
        </w:tc>
        <w:tc>
          <w:tcPr>
            <w:tcW w:w="4677" w:type="dxa"/>
          </w:tcPr>
          <w:p w:rsidR="005430DF" w:rsidRPr="00AF7630" w:rsidRDefault="005430DF" w:rsidP="0001557F">
            <w:pPr>
              <w:jc w:val="both"/>
              <w:rPr>
                <w:rFonts w:ascii="Times New Roman" w:eastAsia="Times New Roman" w:hAnsi="Times New Roman" w:cs="Times New Roman"/>
                <w:b/>
                <w:bCs/>
                <w:sz w:val="24"/>
                <w:szCs w:val="24"/>
              </w:rPr>
            </w:pPr>
            <w:r w:rsidRPr="00AF7630">
              <w:rPr>
                <w:rFonts w:ascii="Times New Roman" w:eastAsia="Times New Roman" w:hAnsi="Times New Roman" w:cs="Times New Roman"/>
                <w:b/>
                <w:bCs/>
                <w:sz w:val="24"/>
                <w:szCs w:val="24"/>
              </w:rPr>
              <w:t>- Nội dung 1:</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Quy định tại Điều 5 Dự thảo Nghị định để TCTD, chi nhánh NHNg xác định giá trị TSBĐ để tính khấu trừ khi trích lập dự phòng rủi ro.</w:t>
            </w:r>
          </w:p>
          <w:p w:rsidR="005430DF" w:rsidRPr="00AF7630" w:rsidRDefault="005430DF" w:rsidP="0001557F">
            <w:pPr>
              <w:jc w:val="both"/>
              <w:rPr>
                <w:rFonts w:ascii="Times New Roman" w:eastAsia="Times New Roman" w:hAnsi="Times New Roman" w:cs="Times New Roman"/>
                <w:b/>
                <w:bCs/>
                <w:sz w:val="24"/>
                <w:szCs w:val="24"/>
              </w:rPr>
            </w:pPr>
            <w:r w:rsidRPr="00AF7630">
              <w:rPr>
                <w:rFonts w:ascii="Times New Roman" w:eastAsia="Times New Roman" w:hAnsi="Times New Roman" w:cs="Times New Roman"/>
                <w:b/>
                <w:bCs/>
                <w:sz w:val="24"/>
                <w:szCs w:val="24"/>
              </w:rPr>
              <w:t>- Nội dung 2:</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Trường hợp giá trị TSĐB được xác định cao hơn giá trị TSBĐ tại Hợp đồng tín dụng thì TCTD, chi nhánh NHNg xác định giá trị TSBĐ để tính khấu trừ khi trích lập dự phòng rủi ro theo giá trị TSĐB tại Hợp đồng tín dụng.</w:t>
            </w:r>
          </w:p>
          <w:p w:rsidR="005430DF" w:rsidRPr="00AF7630" w:rsidRDefault="005430DF" w:rsidP="0001557F">
            <w:pPr>
              <w:jc w:val="both"/>
              <w:rPr>
                <w:rFonts w:ascii="Times New Roman" w:eastAsia="Times New Roman" w:hAnsi="Times New Roman" w:cs="Times New Roman"/>
                <w:sz w:val="24"/>
                <w:szCs w:val="24"/>
              </w:rPr>
            </w:pPr>
          </w:p>
          <w:p w:rsidR="005430DF" w:rsidRPr="00AF7630" w:rsidRDefault="005430DF" w:rsidP="0001557F">
            <w:pPr>
              <w:jc w:val="both"/>
              <w:rPr>
                <w:rFonts w:ascii="Times New Roman" w:eastAsia="Times New Roman" w:hAnsi="Times New Roman" w:cs="Times New Roman"/>
                <w:sz w:val="24"/>
                <w:szCs w:val="24"/>
              </w:rPr>
            </w:pPr>
          </w:p>
        </w:tc>
      </w:tr>
      <w:tr w:rsidR="005430DF" w:rsidRPr="00AF7630" w:rsidTr="0069372A">
        <w:tc>
          <w:tcPr>
            <w:tcW w:w="297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Ý kiến đề nghị bổ sung vào Điều 5</w:t>
            </w:r>
          </w:p>
        </w:tc>
        <w:tc>
          <w:tcPr>
            <w:tcW w:w="5953" w:type="dxa"/>
          </w:tcPr>
          <w:p w:rsidR="005430DF" w:rsidRPr="00AF7630" w:rsidRDefault="005430DF" w:rsidP="0001557F">
            <w:pPr>
              <w:jc w:val="both"/>
              <w:rPr>
                <w:rFonts w:ascii="Times New Roman" w:eastAsia="Times New Roman" w:hAnsi="Times New Roman" w:cs="Times New Roman"/>
                <w:b/>
                <w:bCs/>
                <w:iCs/>
                <w:sz w:val="24"/>
                <w:szCs w:val="24"/>
              </w:rPr>
            </w:pPr>
            <w:r w:rsidRPr="00AF7630">
              <w:rPr>
                <w:rFonts w:ascii="Times New Roman" w:eastAsia="Times New Roman" w:hAnsi="Times New Roman" w:cs="Times New Roman"/>
                <w:sz w:val="24"/>
                <w:szCs w:val="24"/>
              </w:rPr>
              <w:t>DTNĐ chưa quy định rõ giá trị TSBĐ để tính khấu trừ khi trích lập dự phòng rủi ro đối với các khoản mua bán nợ. Đề nghị quy định rõ đối tượng/giá trị dư nợ, giá trị TSBĐ để tính dự phòng rủi ro với tình huống khoản nợ đã bán nhưng chưa thu hồi đầy đủ tiền bán nợ theo Khoản 4- Điều 9 Dự thảo Thông tư Phân loại nợ (TSĐB theo hợp đồng mua bán nợ- nếu có hay TSĐB theo hợp đồng tín dụng ký kết với khách hàng vay vốn)</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Quân đội</w:t>
            </w:r>
          </w:p>
        </w:tc>
        <w:tc>
          <w:tcPr>
            <w:tcW w:w="4677" w:type="dxa"/>
          </w:tcPr>
          <w:p w:rsidR="005430DF" w:rsidRPr="00AF7630" w:rsidRDefault="005430DF" w:rsidP="00191E32">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Tiếp thu, </w:t>
            </w:r>
            <w:r w:rsidRPr="00AF7630">
              <w:rPr>
                <w:rFonts w:ascii="Times New Roman" w:eastAsia="Times New Roman" w:hAnsi="Times New Roman" w:cs="Times New Roman"/>
                <w:sz w:val="24"/>
                <w:szCs w:val="24"/>
              </w:rPr>
              <w:t xml:space="preserve">bổ sung khoản 9 Điều 5 như sau: </w:t>
            </w:r>
            <w:r w:rsidRPr="00AF7630">
              <w:rPr>
                <w:rFonts w:ascii="Times New Roman" w:eastAsia="Times New Roman" w:hAnsi="Times New Roman" w:cs="Times New Roman"/>
                <w:i/>
                <w:sz w:val="24"/>
                <w:szCs w:val="24"/>
              </w:rPr>
              <w:t>“9. Giá trị tài sản bảo đảm để tính khấu trừ trong hoạt động bán nợ nhưng chưa thu được đầy đủ tiền bán nợ là giá trị tài sản bảo đảm theo hợp đồng mua, bán nợ (nếu có).”</w:t>
            </w:r>
          </w:p>
        </w:tc>
      </w:tr>
      <w:tr w:rsidR="005430DF" w:rsidRPr="00AF7630" w:rsidTr="0069372A">
        <w:tc>
          <w:tcPr>
            <w:tcW w:w="2978" w:type="dxa"/>
            <w:vMerge w:val="restart"/>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Điều 6 DTNĐ</w:t>
            </w:r>
          </w:p>
        </w:tc>
        <w:tc>
          <w:tcPr>
            <w:tcW w:w="5953" w:type="dxa"/>
          </w:tcPr>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Kiến nghị bổ sung hai loại tài sản bảo đảm là </w:t>
            </w:r>
            <w:r w:rsidRPr="00AF7630">
              <w:rPr>
                <w:rFonts w:ascii="Times New Roman" w:eastAsia="Times New Roman" w:hAnsi="Times New Roman" w:cs="Times New Roman"/>
                <w:b/>
                <w:bCs/>
                <w:sz w:val="24"/>
                <w:szCs w:val="24"/>
              </w:rPr>
              <w:t>Thư tín dụng dự phòng không hủy ngang</w:t>
            </w:r>
            <w:r w:rsidRPr="00AF7630">
              <w:rPr>
                <w:rFonts w:ascii="Times New Roman" w:eastAsia="Times New Roman" w:hAnsi="Times New Roman" w:cs="Times New Roman"/>
                <w:bCs/>
                <w:sz w:val="24"/>
                <w:szCs w:val="24"/>
              </w:rPr>
              <w:t> và </w:t>
            </w:r>
            <w:r w:rsidRPr="00AF7630">
              <w:rPr>
                <w:rFonts w:ascii="Times New Roman" w:eastAsia="Times New Roman" w:hAnsi="Times New Roman" w:cs="Times New Roman"/>
                <w:b/>
                <w:bCs/>
                <w:sz w:val="24"/>
                <w:szCs w:val="24"/>
              </w:rPr>
              <w:t>Thư bảo lãnh ngân hàng vô điều kiện</w:t>
            </w:r>
            <w:r w:rsidRPr="00AF7630">
              <w:rPr>
                <w:rFonts w:ascii="Times New Roman" w:eastAsia="Times New Roman" w:hAnsi="Times New Roman" w:cs="Times New Roman"/>
                <w:bCs/>
                <w:sz w:val="24"/>
                <w:szCs w:val="24"/>
              </w:rPr>
              <w:t> bởi vì các phương thức bảo đảm này đáp ứng các điều kiện của tài sản bảo đảm để được khấu trừ khi tính dự phòng cụ thể theo quy định tại khoản 4 Điều 4 Dự thảo Nghị Định.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i/>
                <w:iCs/>
                <w:sz w:val="24"/>
                <w:szCs w:val="24"/>
                <w:u w:val="single"/>
              </w:rPr>
              <w:t>Lý do</w:t>
            </w:r>
            <w:r w:rsidRPr="00AF7630">
              <w:rPr>
                <w:rFonts w:ascii="Times New Roman" w:eastAsia="Times New Roman" w:hAnsi="Times New Roman" w:cs="Times New Roman"/>
                <w:bCs/>
                <w:i/>
                <w:iCs/>
                <w:sz w:val="24"/>
                <w:szCs w:val="24"/>
              </w:rPr>
              <w:t>:</w:t>
            </w:r>
            <w:r w:rsidRPr="00AF7630">
              <w:rPr>
                <w:rFonts w:ascii="Times New Roman" w:eastAsia="Times New Roman" w:hAnsi="Times New Roman" w:cs="Times New Roman"/>
                <w:bCs/>
                <w:sz w:val="24"/>
                <w:szCs w:val="24"/>
              </w:rPr>
              <w:t> Các biện pháp bảo đảm này được sử dụng phổ biến gần đây trên thị trường, đặc biệt trong quá trình xử lý nợ xấu của các tổ chức tín dụng.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i/>
                <w:iCs/>
                <w:sz w:val="24"/>
                <w:szCs w:val="24"/>
                <w:u w:val="single"/>
              </w:rPr>
              <w:t>Ví dụ:</w:t>
            </w:r>
            <w:r w:rsidRPr="00AF7630">
              <w:rPr>
                <w:rFonts w:ascii="Times New Roman" w:eastAsia="Times New Roman" w:hAnsi="Times New Roman" w:cs="Times New Roman"/>
                <w:bCs/>
                <w:sz w:val="24"/>
                <w:szCs w:val="24"/>
              </w:rPr>
              <w:t> Công ty A (nợ xấu) có dư nợ vay tại Ngân hàng B, Công ty A đã thế chấp nhà xưởng, quyền sử dụng đất cho Ngân hàng B để bảo đảm thực hiện nghĩa vụ. Nhà đầu tư X muốn mua lại Công ty A với điều kiện Nhà đầu tư X được cơ quan có thẩm quyền chấp thuận nhận chuyển nhượng quyền sử dụng đất và nhà xưởng của Công ty A.</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Trong trường hợp này, nếu Ngân hàng B xử lý tài sản thế chấp theo phương thức khởi kiện tại Tòa án thì vụ việc sẽ kéo dài và tốn kém chi phí, nhưng Ngân hàng B cũng không thể giải chấp quyền sử dụng đất và nhà xưởng khi Công ty A chưa hoàn tất nghĩa vụ trả nợ vay.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Trường hợp này, trong thực tế, các bên sẽ đi đến thỏa thuận như sau: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Ngân hàng C (theo yêu cầu của Nhà  đầu tư X) phát hành một Thư tín dụng dự phòng không hủy ngang hoặc một Thư bảo lãnh ngân hàng vô điều kiện với người thụ hưởng là Ngân hàng B để bảo đảm cho việc thực hiện nghĩa vụ của Công ty A tại Ngân hàng B.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 Ngân hàng B sau khi nhận được Thư tín dụng dự phòng không hủy ngang hoặc một Bảo lãnh ngân hàng vô điều kiện sẽ giải chấp quyền sử dụng đất và nhà xưởng của Công ty A.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Công ty A và Nhà đầu tư X sẽ tiến hành các thủ tục chuyển nhượng công ty. </w:t>
            </w:r>
          </w:p>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Đến thời hạn thanh toán của Thư tín dụng dự phòng hoặc Thư bảo lãnh ngân hàng thì Ngân hàng B sẽ yêu cầu Ngân hàng C thanh toán bất kể giao dịch giữa Nhà đầu tư X và Công ty A đã hoàn tất hay chưa. </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KEXIM VLC</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quy định tại Bộ Luật Dân sự năm 2015, bảo lãnh ngân hàng là một trong các biện pháp bảo đảm thực hiện nghĩa vụ, không phải là tài sản bảo đảm.</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Thư tín dụng dự phòng không hủy ngang và Thư bảo lãnh ngân hàng vô điều kiện có tính chất như bảo lãnh ngân hàng nên không phải là tài sản bảo đảm.</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Dự thảo Nghị định giữ nguyên quy định này.</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Đề nghị quy định rõ có được sử dụng thông tin, giá trị TSBĐ của khoản nợ theo HĐTD đã ký với Khách hàng để tính khấu trừ khi trích lập DP đối với bên mua nợ không? Trường hợp để đảm bảo khả năng thanh toán tiền mua nợ, giảm thiểu rủi ro cho TCTD,  TCTD và bên mua nợ thỏa thuận có TSBĐ cho số tiền mua nợ phải thu theo Hợp đồng mua bán nợ thì thông tin và giá trị TSBĐ của bên mua nợ có được tính khấu trừ khi trích lập DP đối với bên mua nợ không? (cùng với TSBĐ của Khách hàng theo HĐTD đã ký).</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MSB</w:t>
            </w:r>
          </w:p>
        </w:tc>
        <w:tc>
          <w:tcPr>
            <w:tcW w:w="4677" w:type="dxa"/>
          </w:tcPr>
          <w:p w:rsidR="005430DF" w:rsidRPr="00AF7630" w:rsidRDefault="005430DF"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b/>
                <w:sz w:val="24"/>
                <w:szCs w:val="24"/>
              </w:rPr>
              <w:t xml:space="preserve">Tiếp thu, </w:t>
            </w:r>
            <w:r w:rsidRPr="00AF7630">
              <w:rPr>
                <w:rFonts w:ascii="Times New Roman" w:eastAsia="Times New Roman" w:hAnsi="Times New Roman" w:cs="Times New Roman"/>
                <w:sz w:val="24"/>
                <w:szCs w:val="24"/>
              </w:rPr>
              <w:t xml:space="preserve">bổ sung khoản 9 Điều 5 như sau: </w:t>
            </w:r>
            <w:r w:rsidRPr="00AF7630">
              <w:rPr>
                <w:rFonts w:ascii="Times New Roman" w:eastAsia="Times New Roman" w:hAnsi="Times New Roman" w:cs="Times New Roman"/>
                <w:i/>
                <w:sz w:val="24"/>
                <w:szCs w:val="24"/>
              </w:rPr>
              <w:t>“9. Giá trị tài sản bảo đảm để tính khấu trừ trong hoạt động bán nợ nhưng chưa thu được đầy đủ tiền bán nợ là giá trị tài sản bảo đảm theo hợp đồng mua, bán nợ (nếu có).”</w:t>
            </w:r>
          </w:p>
        </w:tc>
      </w:tr>
      <w:tr w:rsidR="005430DF" w:rsidRPr="00AF7630" w:rsidTr="0069372A">
        <w:tc>
          <w:tcPr>
            <w:tcW w:w="2978" w:type="dxa"/>
            <w:vMerge/>
          </w:tcPr>
          <w:p w:rsidR="005430DF" w:rsidRPr="00AF7630" w:rsidRDefault="005430DF" w:rsidP="0001557F">
            <w:pPr>
              <w:jc w:val="both"/>
              <w:rPr>
                <w:rFonts w:ascii="Times New Roman" w:eastAsia="Times New Roman" w:hAnsi="Times New Roman" w:cs="Times New Roman"/>
                <w:sz w:val="24"/>
                <w:szCs w:val="24"/>
              </w:rPr>
            </w:pPr>
          </w:p>
        </w:tc>
        <w:tc>
          <w:tcPr>
            <w:tcW w:w="5953" w:type="dxa"/>
          </w:tcPr>
          <w:p w:rsidR="005430DF" w:rsidRPr="00AF7630" w:rsidRDefault="005430DF"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sz w:val="24"/>
                <w:szCs w:val="24"/>
              </w:rPr>
              <w:t>Tỷ lệ khấu trừ cho TSBĐ là nhà máy thủy điện, trạm điện, đường dây truyền tải điện hiện nay đang áp dụng là 30%. Đề xuất Ban soạn thảo tăng tỷ lệ khấu trừ từ 30% lên 50% như áp dụng đối với nhóm tài sản là bất động sản. Lý do tài sản hình thành từ vốn vay nguồn ODA như các nhà máy thủy điện, trạm điện, đường dây truyền tải… là các tài sản có giá trị lớn, có vai trò quan trọng quốc gia. Khi đưa vào vận hành, chủ đầu tư có nguồn thu ổn định, vì vậy khả năng trả nợ luôn được đảm bảo, tính an toàn cao.</w:t>
            </w:r>
          </w:p>
        </w:tc>
        <w:tc>
          <w:tcPr>
            <w:tcW w:w="2268"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CTTC Cổ phần Điện Lực</w:t>
            </w:r>
          </w:p>
        </w:tc>
        <w:tc>
          <w:tcPr>
            <w:tcW w:w="4677" w:type="dxa"/>
          </w:tcPr>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TSBĐ là nhà máy thủy điện, trạm điện, đường dây truyền tải điện là TSBĐ có tính đặc thù. Đồng thời, khoản 1 Điều 6 Dự thảo Nghị định đã có nguyên tắc xác định tỷ lệ khấu trừ đối với từng loại TSBĐ trên cơ sở đánh giá khả năng thu hồi khi xử lý tài sản bảo đảm đó; tài sản bảo đảm có khả năng thanh khoản càng thấp, mức biến động giá càng lớn thì tỷ lệ khấu trừ tài sản bảo đảm càng thấp.</w:t>
            </w:r>
          </w:p>
          <w:p w:rsidR="005430DF" w:rsidRPr="00AF7630" w:rsidRDefault="005430DF"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Do đó, quy định tại dự thảo Nghị định là phù hợp. </w:t>
            </w:r>
          </w:p>
        </w:tc>
      </w:tr>
      <w:tr w:rsidR="00FF1DD4" w:rsidRPr="00AF7630" w:rsidTr="0069372A">
        <w:tc>
          <w:tcPr>
            <w:tcW w:w="2978"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1 Điều 6 DTNĐ:</w:t>
            </w:r>
          </w:p>
          <w:p w:rsidR="00FF1DD4" w:rsidRPr="00AF7630" w:rsidRDefault="00FF1DD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“1. </w:t>
            </w:r>
            <w:r w:rsidRPr="00AF7630">
              <w:rPr>
                <w:rFonts w:ascii="Times New Roman" w:eastAsia="Times New Roman" w:hAnsi="Times New Roman" w:cs="Times New Roman"/>
                <w:i/>
                <w:sz w:val="24"/>
                <w:szCs w:val="24"/>
                <w:lang w:val="vi-VN"/>
              </w:rPr>
              <w:t xml:space="preserve">Tổ chức tín dụng, chi nhánh ngân hàng nước ngoài tự xác định tỷ lệ khấu trừ đối với từng loại tài sản bảo đảm </w:t>
            </w:r>
            <w:r w:rsidRPr="00AF7630">
              <w:rPr>
                <w:rFonts w:ascii="Times New Roman" w:eastAsia="Times New Roman" w:hAnsi="Times New Roman" w:cs="Times New Roman"/>
                <w:i/>
                <w:sz w:val="24"/>
                <w:szCs w:val="24"/>
              </w:rPr>
              <w:t xml:space="preserve">trên cơ sở đánh </w:t>
            </w:r>
            <w:r w:rsidRPr="00AF7630">
              <w:rPr>
                <w:rFonts w:ascii="Times New Roman" w:eastAsia="Times New Roman" w:hAnsi="Times New Roman" w:cs="Times New Roman"/>
                <w:i/>
                <w:sz w:val="24"/>
                <w:szCs w:val="24"/>
              </w:rPr>
              <w:lastRenderedPageBreak/>
              <w:t xml:space="preserve">giá khả năng thu hồi khi xử lý tài sản bảo đảm đó; </w:t>
            </w:r>
            <w:r w:rsidRPr="00AF7630">
              <w:rPr>
                <w:rFonts w:ascii="Times New Roman" w:eastAsia="Times New Roman" w:hAnsi="Times New Roman" w:cs="Times New Roman"/>
                <w:i/>
                <w:sz w:val="24"/>
                <w:szCs w:val="24"/>
                <w:lang w:val="vi-VN"/>
              </w:rPr>
              <w:t>tài sản bảo đảm có khả năng thanh khoản càng thấp</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mức biến động giá càng lớn thì tỷ lệ khấu trừ tài sản bảo đảm càng thấp</w:t>
            </w: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 tỷ lệ khấu trừ tối đa đối với từng loại tài sản bảo đảm </w:t>
            </w:r>
            <w:r w:rsidRPr="00AF7630">
              <w:rPr>
                <w:rFonts w:ascii="Times New Roman" w:eastAsia="Times New Roman" w:hAnsi="Times New Roman" w:cs="Times New Roman"/>
                <w:i/>
                <w:sz w:val="24"/>
                <w:szCs w:val="24"/>
              </w:rPr>
              <w:t xml:space="preserve">theo </w:t>
            </w:r>
            <w:r w:rsidRPr="00AF7630">
              <w:rPr>
                <w:rFonts w:ascii="Times New Roman" w:eastAsia="Times New Roman" w:hAnsi="Times New Roman" w:cs="Times New Roman"/>
                <w:i/>
                <w:sz w:val="24"/>
                <w:szCs w:val="24"/>
                <w:lang w:val="vi-VN"/>
              </w:rPr>
              <w:t xml:space="preserve">quy định tại </w:t>
            </w:r>
            <w:r w:rsidRPr="00AF7630">
              <w:rPr>
                <w:rFonts w:ascii="Times New Roman" w:eastAsia="Times New Roman" w:hAnsi="Times New Roman" w:cs="Times New Roman"/>
                <w:i/>
                <w:sz w:val="24"/>
                <w:szCs w:val="24"/>
              </w:rPr>
              <w:t xml:space="preserve">khoản 2 </w:t>
            </w:r>
            <w:r w:rsidRPr="00AF7630">
              <w:rPr>
                <w:rFonts w:ascii="Times New Roman" w:eastAsia="Times New Roman" w:hAnsi="Times New Roman" w:cs="Times New Roman"/>
                <w:i/>
                <w:sz w:val="24"/>
                <w:szCs w:val="24"/>
                <w:lang w:val="vi-VN"/>
              </w:rPr>
              <w:t xml:space="preserve">Điều </w:t>
            </w:r>
            <w:r w:rsidRPr="00AF7630">
              <w:rPr>
                <w:rFonts w:ascii="Times New Roman" w:eastAsia="Times New Roman" w:hAnsi="Times New Roman" w:cs="Times New Roman"/>
                <w:i/>
                <w:sz w:val="24"/>
                <w:szCs w:val="24"/>
              </w:rPr>
              <w:t>này</w:t>
            </w: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w:t>
            </w:r>
          </w:p>
        </w:tc>
        <w:tc>
          <w:tcPr>
            <w:tcW w:w="5953" w:type="dxa"/>
          </w:tcPr>
          <w:p w:rsidR="00FF1DD4" w:rsidRPr="00AF7630" w:rsidRDefault="00FF1DD4" w:rsidP="00D73844">
            <w:pPr>
              <w:widowControl w:val="0"/>
              <w:tabs>
                <w:tab w:val="left" w:pos="567"/>
              </w:tabs>
              <w:jc w:val="both"/>
              <w:rPr>
                <w:rFonts w:ascii="Times New Roman" w:hAnsi="Times New Roman" w:cs="Times New Roman"/>
                <w:iCs/>
                <w:sz w:val="24"/>
                <w:szCs w:val="24"/>
              </w:rPr>
            </w:pPr>
            <w:r w:rsidRPr="00AF7630">
              <w:rPr>
                <w:rFonts w:ascii="Times New Roman" w:hAnsi="Times New Roman" w:cs="Times New Roman"/>
                <w:iCs/>
                <w:sz w:val="24"/>
                <w:szCs w:val="24"/>
              </w:rPr>
              <w:lastRenderedPageBreak/>
              <w:t>Đề xuất NHNN cho phép TCTD được quyền xác định tỷ lệ khấu trừ đối với từng loại tài sản bảo đảm dựa trên đặc điểm của loại tài sản là tính thanh khoản và mức biến động giá, đảm bảo không vượt quá mức tối đa theo quy định tại dự thảo, cụ thể:</w:t>
            </w:r>
          </w:p>
          <w:p w:rsidR="00FF1DD4" w:rsidRPr="00AF7630" w:rsidRDefault="00FF1DD4" w:rsidP="0001557F">
            <w:pPr>
              <w:jc w:val="both"/>
              <w:rPr>
                <w:rFonts w:ascii="Times New Roman" w:eastAsia="Times New Roman" w:hAnsi="Times New Roman" w:cs="Times New Roman"/>
                <w:bCs/>
                <w:sz w:val="24"/>
                <w:szCs w:val="24"/>
              </w:rPr>
            </w:pPr>
            <w:r w:rsidRPr="00AF7630">
              <w:rPr>
                <w:rFonts w:ascii="Times New Roman" w:hAnsi="Times New Roman" w:cs="Times New Roman"/>
                <w:i/>
                <w:sz w:val="24"/>
                <w:szCs w:val="24"/>
              </w:rPr>
              <w:t xml:space="preserve">1. </w:t>
            </w:r>
            <w:r w:rsidRPr="00AF7630">
              <w:rPr>
                <w:rFonts w:ascii="Times New Roman" w:hAnsi="Times New Roman" w:cs="Times New Roman"/>
                <w:sz w:val="24"/>
                <w:szCs w:val="24"/>
              </w:rPr>
              <w:t xml:space="preserve">Tổ chức tín dụng, chi nhánh ngân hàng nước ngoài </w:t>
            </w:r>
            <w:r w:rsidRPr="00AF7630">
              <w:rPr>
                <w:rFonts w:ascii="Times New Roman" w:hAnsi="Times New Roman" w:cs="Times New Roman"/>
                <w:i/>
                <w:sz w:val="24"/>
                <w:szCs w:val="24"/>
              </w:rPr>
              <w:t>tự</w:t>
            </w:r>
            <w:r w:rsidRPr="00AF7630">
              <w:rPr>
                <w:rFonts w:ascii="Times New Roman" w:hAnsi="Times New Roman" w:cs="Times New Roman"/>
                <w:sz w:val="24"/>
                <w:szCs w:val="24"/>
              </w:rPr>
              <w:t xml:space="preserve"> </w:t>
            </w:r>
            <w:r w:rsidRPr="00AF7630">
              <w:rPr>
                <w:rFonts w:ascii="Times New Roman" w:hAnsi="Times New Roman" w:cs="Times New Roman"/>
                <w:sz w:val="24"/>
                <w:szCs w:val="24"/>
              </w:rPr>
              <w:lastRenderedPageBreak/>
              <w:t>xác định tỷ lệ khấu trừ</w:t>
            </w:r>
            <w:r w:rsidRPr="00AF7630">
              <w:rPr>
                <w:rFonts w:ascii="Times New Roman" w:hAnsi="Times New Roman" w:cs="Times New Roman"/>
                <w:i/>
                <w:sz w:val="24"/>
                <w:szCs w:val="24"/>
              </w:rPr>
              <w:t xml:space="preserve"> đối với </w:t>
            </w:r>
            <w:r w:rsidRPr="00AF7630">
              <w:rPr>
                <w:rFonts w:ascii="Times New Roman" w:hAnsi="Times New Roman" w:cs="Times New Roman"/>
                <w:sz w:val="24"/>
                <w:szCs w:val="24"/>
              </w:rPr>
              <w:t xml:space="preserve">từng loại tài sản bảo đảm </w:t>
            </w:r>
            <w:r w:rsidRPr="00AF7630">
              <w:rPr>
                <w:rFonts w:ascii="Times New Roman" w:hAnsi="Times New Roman" w:cs="Times New Roman"/>
                <w:i/>
                <w:strike/>
                <w:sz w:val="24"/>
                <w:szCs w:val="24"/>
              </w:rPr>
              <w:t>trên cơ sở đánh giá khả năng thu hồi khi xử lý tài sản bảo đảm đó</w:t>
            </w:r>
            <w:r w:rsidRPr="00AF7630">
              <w:rPr>
                <w:rFonts w:ascii="Times New Roman" w:hAnsi="Times New Roman" w:cs="Times New Roman"/>
                <w:i/>
                <w:sz w:val="24"/>
                <w:szCs w:val="24"/>
              </w:rPr>
              <w:t xml:space="preserve">; </w:t>
            </w:r>
            <w:r w:rsidRPr="00AF7630">
              <w:rPr>
                <w:rFonts w:ascii="Times New Roman" w:hAnsi="Times New Roman" w:cs="Times New Roman"/>
                <w:sz w:val="24"/>
                <w:szCs w:val="24"/>
              </w:rPr>
              <w:t>tài sản bảo đảm có khả năng thanh khoản càng thấp, mức biến động giá càng lớn thì tỷ lệ khấu trừ tài sản bảo đảm càng thấp</w:t>
            </w:r>
            <w:r w:rsidRPr="00AF7630">
              <w:rPr>
                <w:rFonts w:ascii="Times New Roman" w:hAnsi="Times New Roman" w:cs="Times New Roman"/>
                <w:i/>
                <w:sz w:val="24"/>
                <w:szCs w:val="24"/>
              </w:rPr>
              <w:t xml:space="preserve">; </w:t>
            </w:r>
            <w:r w:rsidRPr="00AF7630">
              <w:rPr>
                <w:rFonts w:ascii="Times New Roman" w:hAnsi="Times New Roman" w:cs="Times New Roman"/>
                <w:sz w:val="24"/>
                <w:szCs w:val="24"/>
              </w:rPr>
              <w:t xml:space="preserve">tỷ lệ khấu trừ tối đa đối với từng loại tài sản bảo đảm </w:t>
            </w:r>
            <w:r w:rsidRPr="00AF7630">
              <w:rPr>
                <w:rFonts w:ascii="Times New Roman" w:hAnsi="Times New Roman" w:cs="Times New Roman"/>
                <w:i/>
                <w:sz w:val="24"/>
                <w:szCs w:val="24"/>
              </w:rPr>
              <w:t>theo quy định tại khoản 2 Điều này.</w:t>
            </w:r>
          </w:p>
        </w:tc>
        <w:tc>
          <w:tcPr>
            <w:tcW w:w="2268"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VCB</w:t>
            </w:r>
          </w:p>
        </w:tc>
        <w:tc>
          <w:tcPr>
            <w:tcW w:w="4677"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này kế thừa quy định tại Thông tư 11/2021/TT-NHNN. Đồng thời, NHNN không nhận được vướng mắc liên quan đến nội dung này. Do đó, Dự thảo Nghị định giữ nguyên quy định này.</w:t>
            </w:r>
          </w:p>
        </w:tc>
      </w:tr>
      <w:tr w:rsidR="00FF1DD4" w:rsidRPr="00AF7630" w:rsidTr="0069372A">
        <w:tc>
          <w:tcPr>
            <w:tcW w:w="2978"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Điểm a, b khoản 2 Điều 6 DTNĐ</w:t>
            </w:r>
          </w:p>
        </w:tc>
        <w:tc>
          <w:tcPr>
            <w:tcW w:w="5953" w:type="dxa"/>
          </w:tcPr>
          <w:p w:rsidR="00FF1DD4" w:rsidRPr="00AF7630" w:rsidRDefault="00FF1DD4" w:rsidP="00064CF0">
            <w:pPr>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xml:space="preserve">Điều 6 Khoản 2: Đề nghị Tổ soạn thảo xem xét sửa đổi cụm từ "của khách hàng" thành </w:t>
            </w:r>
            <w:r w:rsidRPr="00AF7630">
              <w:rPr>
                <w:rFonts w:ascii="Times New Roman" w:eastAsia="Times New Roman" w:hAnsi="Times New Roman" w:cs="Times New Roman"/>
                <w:i/>
                <w:iCs/>
                <w:color w:val="000000"/>
                <w:sz w:val="24"/>
                <w:szCs w:val="24"/>
              </w:rPr>
              <w:t xml:space="preserve">"của khách hàng, </w:t>
            </w:r>
            <w:r w:rsidRPr="00AF7630">
              <w:rPr>
                <w:rFonts w:ascii="Times New Roman" w:eastAsia="Times New Roman" w:hAnsi="Times New Roman" w:cs="Times New Roman"/>
                <w:i/>
                <w:iCs/>
                <w:color w:val="000000"/>
                <w:sz w:val="24"/>
                <w:szCs w:val="24"/>
                <w:u w:val="single"/>
              </w:rPr>
              <w:t>bên thứ ba</w:t>
            </w:r>
            <w:r w:rsidRPr="00AF7630">
              <w:rPr>
                <w:rFonts w:ascii="Times New Roman" w:eastAsia="Times New Roman" w:hAnsi="Times New Roman" w:cs="Times New Roman"/>
                <w:i/>
                <w:iCs/>
                <w:color w:val="000000"/>
                <w:sz w:val="24"/>
                <w:szCs w:val="24"/>
              </w:rPr>
              <w:t>"</w:t>
            </w:r>
            <w:r w:rsidRPr="00AF7630">
              <w:rPr>
                <w:rFonts w:ascii="Times New Roman" w:eastAsia="Times New Roman" w:hAnsi="Times New Roman" w:cs="Times New Roman"/>
                <w:color w:val="000000"/>
                <w:sz w:val="24"/>
                <w:szCs w:val="24"/>
              </w:rPr>
              <w:t xml:space="preserve">. </w:t>
            </w:r>
          </w:p>
          <w:p w:rsidR="00FF1DD4" w:rsidRPr="00AF7630" w:rsidRDefault="00FF1DD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color w:val="000000"/>
                <w:sz w:val="24"/>
                <w:szCs w:val="24"/>
              </w:rPr>
              <w:t>Lý do: Theo nội dung giải thích từ ngữ tại khoản 6 Điều 3 Dự thảo Nghị định, khách hàng là tổ chức, cá nhân, các chủ thể khác theo quy định của pháp luật dân sự có nghĩa vụ trả nợ, thanh toán cho TCTD, chi nhánh ngân hàng nước ngoài theo thỏa thuận. Trong khi đó, bên thứ 3 dùng tài sản để bảo đảm cho khách hàng vay sẽ không phát sinh nghĩa vụ trả nợ, thanh toán cho TCTD nên không thuộc khái niệm "khách hàng" nêu trên. Vì vậy, đề nghị Tổ soạn thảo xem xét bổ sung, quy định rõ để các TCTD thống nhất thực hiện.</w:t>
            </w:r>
          </w:p>
        </w:tc>
        <w:tc>
          <w:tcPr>
            <w:tcW w:w="2268" w:type="dxa"/>
          </w:tcPr>
          <w:p w:rsidR="00FF1DD4" w:rsidRPr="00AF7630" w:rsidRDefault="00FF1DD4" w:rsidP="0001557F">
            <w:pPr>
              <w:rPr>
                <w:rFonts w:ascii="Times New Roman" w:eastAsia="Times New Roman" w:hAnsi="Times New Roman" w:cs="Times New Roman"/>
                <w:sz w:val="24"/>
                <w:szCs w:val="24"/>
              </w:rPr>
            </w:pPr>
            <w:r w:rsidRPr="00AF7630">
              <w:rPr>
                <w:rFonts w:ascii="Times New Roman" w:hAnsi="Times New Roman" w:cs="Times New Roman"/>
                <w:sz w:val="24"/>
                <w:szCs w:val="24"/>
              </w:rPr>
              <w:t>VietinBank</w:t>
            </w:r>
          </w:p>
        </w:tc>
        <w:tc>
          <w:tcPr>
            <w:tcW w:w="4677"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điểm a,b khoản 2 Điều 6 Dự thảo Nghị định theo hướng quy định loại TSBĐ để tính khấu trừ để bao hàm các trường hợp, theo đó bỏ cùm từ “của khách hàng”, cụ thể như sau:</w:t>
            </w:r>
          </w:p>
          <w:p w:rsidR="00FF1DD4" w:rsidRPr="00AF7630" w:rsidRDefault="00FF1DD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sz w:val="24"/>
                <w:szCs w:val="24"/>
              </w:rPr>
              <w:t>“</w:t>
            </w:r>
            <w:r w:rsidRPr="00AF7630">
              <w:rPr>
                <w:rFonts w:ascii="Times New Roman" w:eastAsia="Times New Roman" w:hAnsi="Times New Roman" w:cs="Times New Roman"/>
                <w:i/>
                <w:sz w:val="24"/>
                <w:szCs w:val="24"/>
                <w:lang w:val="vi-VN"/>
              </w:rPr>
              <w:t>a) Số dư tiền gửi</w:t>
            </w:r>
            <w:r w:rsidRPr="00AF7630">
              <w:rPr>
                <w:rFonts w:ascii="Times New Roman" w:eastAsia="Times New Roman" w:hAnsi="Times New Roman" w:cs="Times New Roman"/>
                <w:i/>
                <w:sz w:val="24"/>
                <w:szCs w:val="24"/>
              </w:rPr>
              <w:t xml:space="preserve"> (bao gồm cả tiết kiệm bắt buộc, tiền gửi tự nguyện đối với tổ chức tài chính vi mô)</w:t>
            </w:r>
            <w:r w:rsidRPr="00AF7630">
              <w:rPr>
                <w:rFonts w:ascii="Times New Roman" w:eastAsia="Times New Roman" w:hAnsi="Times New Roman" w:cs="Times New Roman"/>
                <w:i/>
                <w:sz w:val="24"/>
                <w:szCs w:val="24"/>
                <w:lang w:val="vi-VN"/>
              </w:rPr>
              <w:t xml:space="preserve">, chứng chỉ tiền gửi </w:t>
            </w:r>
            <w:r w:rsidRPr="00AF7630">
              <w:rPr>
                <w:rFonts w:ascii="Times New Roman" w:eastAsia="Times New Roman" w:hAnsi="Times New Roman" w:cs="Times New Roman"/>
                <w:i/>
                <w:strike/>
                <w:sz w:val="24"/>
                <w:szCs w:val="24"/>
              </w:rPr>
              <w:t>của khách hàng</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bằng Đồng Việt Nam tại chính tổ chức tín dụng, chi nhánh ngân hàng nước ngoài: 100%;</w:t>
            </w:r>
          </w:p>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 xml:space="preserve">b) Trái phiếu Chính phủ, vàng miếng theo quy định của pháp luật về hoạt động kinh doanh vàng; số dư tiền gửi, chứng chỉ tiền gửi </w:t>
            </w:r>
            <w:r w:rsidRPr="00AF7630">
              <w:rPr>
                <w:rFonts w:ascii="Times New Roman" w:eastAsia="Times New Roman" w:hAnsi="Times New Roman" w:cs="Times New Roman"/>
                <w:i/>
                <w:strike/>
                <w:sz w:val="24"/>
                <w:szCs w:val="24"/>
              </w:rPr>
              <w:t>của khách hàng</w:t>
            </w:r>
            <w:r w:rsidRPr="00AF7630">
              <w:rPr>
                <w:rFonts w:ascii="Times New Roman" w:eastAsia="Times New Roman" w:hAnsi="Times New Roman" w:cs="Times New Roman"/>
                <w:i/>
                <w:sz w:val="24"/>
                <w:szCs w:val="24"/>
                <w:lang w:val="vi-VN"/>
              </w:rPr>
              <w:t xml:space="preserve"> bằng ngoại tệ tại chính tổ chức tín dụng, chi nhánh ngân hàng nước ngoài: 95%;</w:t>
            </w:r>
            <w:r w:rsidRPr="00AF7630">
              <w:rPr>
                <w:rFonts w:ascii="Times New Roman" w:eastAsia="Times New Roman" w:hAnsi="Times New Roman" w:cs="Times New Roman"/>
                <w:i/>
                <w:sz w:val="24"/>
                <w:szCs w:val="24"/>
              </w:rPr>
              <w:t>”</w:t>
            </w:r>
          </w:p>
        </w:tc>
      </w:tr>
      <w:tr w:rsidR="00FF1DD4" w:rsidRPr="00AF7630" w:rsidTr="0069372A">
        <w:tc>
          <w:tcPr>
            <w:tcW w:w="2978" w:type="dxa"/>
            <w:vMerge w:val="restart"/>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Điểm a khoản 2 Điều 6 DTNĐ:</w:t>
            </w:r>
          </w:p>
          <w:p w:rsidR="00FF1DD4" w:rsidRPr="00AF7630" w:rsidRDefault="00FF1DD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a) Số dư tiền gửi</w:t>
            </w:r>
            <w:r w:rsidRPr="00AF7630">
              <w:rPr>
                <w:rFonts w:ascii="Times New Roman" w:eastAsia="Times New Roman" w:hAnsi="Times New Roman" w:cs="Times New Roman"/>
                <w:i/>
                <w:sz w:val="24"/>
                <w:szCs w:val="24"/>
              </w:rPr>
              <w:t xml:space="preserve"> (bao gồm cả tiết kiệm bắt buộc, tiền gửi tự nguyện đối với tổ chức tài chính vi mô)</w:t>
            </w:r>
            <w:r w:rsidRPr="00AF7630">
              <w:rPr>
                <w:rFonts w:ascii="Times New Roman" w:eastAsia="Times New Roman" w:hAnsi="Times New Roman" w:cs="Times New Roman"/>
                <w:i/>
                <w:sz w:val="24"/>
                <w:szCs w:val="24"/>
                <w:lang w:val="vi-VN"/>
              </w:rPr>
              <w:t>, chứng chỉ tiền gửi của khách hàng</w:t>
            </w:r>
            <w:r w:rsidRPr="00AF7630">
              <w:rPr>
                <w:rFonts w:ascii="Times New Roman" w:eastAsia="Times New Roman" w:hAnsi="Times New Roman" w:cs="Times New Roman"/>
                <w:i/>
                <w:sz w:val="24"/>
                <w:szCs w:val="24"/>
              </w:rPr>
              <w:t>, bên thứ ba</w:t>
            </w:r>
            <w:r w:rsidRPr="00AF7630">
              <w:rPr>
                <w:rFonts w:ascii="Times New Roman" w:eastAsia="Times New Roman" w:hAnsi="Times New Roman" w:cs="Times New Roman"/>
                <w:i/>
                <w:sz w:val="24"/>
                <w:szCs w:val="24"/>
                <w:lang w:val="vi-VN"/>
              </w:rPr>
              <w:t xml:space="preserve"> bằng Đồng Việt Nam tại chính tổ chức tín dụng, chi nhánh ngân hàng </w:t>
            </w:r>
            <w:r w:rsidRPr="00AF7630">
              <w:rPr>
                <w:rFonts w:ascii="Times New Roman" w:eastAsia="Times New Roman" w:hAnsi="Times New Roman" w:cs="Times New Roman"/>
                <w:i/>
                <w:sz w:val="24"/>
                <w:szCs w:val="24"/>
                <w:lang w:val="vi-VN"/>
              </w:rPr>
              <w:lastRenderedPageBreak/>
              <w:t>nước ngoài: 100%;</w:t>
            </w:r>
          </w:p>
          <w:p w:rsidR="00FF1DD4" w:rsidRPr="00AF7630" w:rsidRDefault="00FF1DD4" w:rsidP="0001557F">
            <w:pPr>
              <w:jc w:val="both"/>
              <w:rPr>
                <w:rFonts w:ascii="Times New Roman" w:eastAsia="Times New Roman" w:hAnsi="Times New Roman" w:cs="Times New Roman"/>
                <w:sz w:val="24"/>
                <w:szCs w:val="24"/>
              </w:rPr>
            </w:pPr>
          </w:p>
        </w:tc>
        <w:tc>
          <w:tcPr>
            <w:tcW w:w="5953" w:type="dxa"/>
          </w:tcPr>
          <w:p w:rsidR="00FF1DD4" w:rsidRPr="00AF7630" w:rsidRDefault="00FF1DD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Nội dung tại điểm a khoản này đề xuất bổ sung thêm tiền ký quỹ đối với thư tín dụng.</w:t>
            </w:r>
          </w:p>
        </w:tc>
        <w:tc>
          <w:tcPr>
            <w:tcW w:w="2268" w:type="dxa"/>
          </w:tcPr>
          <w:p w:rsidR="00FF1DD4" w:rsidRPr="00AF7630" w:rsidRDefault="00FF1DD4" w:rsidP="0001557F">
            <w:pPr>
              <w:jc w:val="both"/>
              <w:rPr>
                <w:rFonts w:ascii="Times New Roman" w:eastAsia="Times New Roman" w:hAnsi="Times New Roman" w:cs="Times New Roman"/>
                <w:bCs/>
                <w:sz w:val="24"/>
                <w:szCs w:val="24"/>
              </w:rPr>
            </w:pPr>
            <w:r w:rsidRPr="00AF7630">
              <w:rPr>
                <w:rFonts w:ascii="Times New Roman" w:hAnsi="Times New Roman" w:cs="Times New Roman"/>
                <w:sz w:val="24"/>
                <w:szCs w:val="24"/>
              </w:rPr>
              <w:t>SAIGONBANK</w:t>
            </w:r>
          </w:p>
        </w:tc>
        <w:tc>
          <w:tcPr>
            <w:tcW w:w="4677"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Tại thời điểm TCTD phát hành thư tín dụng thì thư tín dụng là khoản cam kết ngoại bảng, theo đó tiền ký quỹ được đảm bảo thực hiện nghĩa vụ và TCTD chưa phải trích lập dự phòng rủi ro.</w:t>
            </w:r>
          </w:p>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Khi phát sinh nghĩa vụ theo cam kết tại thư tín dụng thì trở thành khoản trả thay theo cam kết ngoại bảng, theo đó tiền ký quỹ sẽ được khấu trừ trực tiếp vào nghĩa vụ nợ, không coi là TSBĐ.</w:t>
            </w:r>
          </w:p>
        </w:tc>
      </w:tr>
      <w:tr w:rsidR="00FF1DD4" w:rsidRPr="00AF7630" w:rsidTr="0069372A">
        <w:tc>
          <w:tcPr>
            <w:tcW w:w="2978" w:type="dxa"/>
            <w:vMerge/>
          </w:tcPr>
          <w:p w:rsidR="00FF1DD4" w:rsidRPr="00AF7630" w:rsidRDefault="00FF1DD4" w:rsidP="0001557F">
            <w:pPr>
              <w:jc w:val="both"/>
              <w:rPr>
                <w:rFonts w:ascii="Times New Roman" w:eastAsia="Times New Roman" w:hAnsi="Times New Roman" w:cs="Times New Roman"/>
                <w:sz w:val="24"/>
                <w:szCs w:val="24"/>
              </w:rPr>
            </w:pPr>
          </w:p>
        </w:tc>
        <w:tc>
          <w:tcPr>
            <w:tcW w:w="5953" w:type="dxa"/>
          </w:tcPr>
          <w:p w:rsidR="00FF1DD4" w:rsidRPr="00AF7630" w:rsidRDefault="00FF1DD4" w:rsidP="0001557F">
            <w:pPr>
              <w:jc w:val="both"/>
              <w:rPr>
                <w:rFonts w:ascii="Times New Roman" w:eastAsia="Times New Roman" w:hAnsi="Times New Roman" w:cs="Times New Roman"/>
                <w:bCs/>
                <w:i/>
                <w:iCs/>
                <w:sz w:val="24"/>
                <w:szCs w:val="24"/>
              </w:rPr>
            </w:pPr>
            <w:r w:rsidRPr="00AF7630">
              <w:rPr>
                <w:rFonts w:ascii="Times New Roman" w:eastAsia="Times New Roman" w:hAnsi="Times New Roman" w:cs="Times New Roman"/>
                <w:bCs/>
                <w:sz w:val="24"/>
                <w:szCs w:val="24"/>
              </w:rPr>
              <w:t>Đề nghị bổ sung</w:t>
            </w:r>
            <w:r w:rsidRPr="00AF7630">
              <w:rPr>
                <w:rFonts w:ascii="Times New Roman" w:eastAsia="Times New Roman" w:hAnsi="Times New Roman" w:cs="Times New Roman"/>
                <w:bCs/>
                <w:i/>
                <w:iCs/>
                <w:sz w:val="24"/>
                <w:szCs w:val="24"/>
              </w:rPr>
              <w:t xml:space="preserve"> "tiền ký cược"</w:t>
            </w:r>
            <w:r w:rsidRPr="00AF7630">
              <w:rPr>
                <w:rFonts w:ascii="Times New Roman" w:eastAsia="Times New Roman" w:hAnsi="Times New Roman" w:cs="Times New Roman"/>
                <w:bCs/>
                <w:sz w:val="24"/>
                <w:szCs w:val="24"/>
              </w:rPr>
              <w:t xml:space="preserve"> của khách hàng vào phần giải thích cho</w:t>
            </w:r>
            <w:r w:rsidRPr="00AF7630">
              <w:rPr>
                <w:rFonts w:ascii="Times New Roman" w:eastAsia="Times New Roman" w:hAnsi="Times New Roman" w:cs="Times New Roman"/>
                <w:bCs/>
                <w:i/>
                <w:iCs/>
                <w:sz w:val="24"/>
                <w:szCs w:val="24"/>
              </w:rPr>
              <w:t xml:space="preserve"> "Số dư tiền gửi"</w:t>
            </w:r>
          </w:p>
          <w:p w:rsidR="00FF1DD4" w:rsidRPr="00AF7630" w:rsidRDefault="00FF1DD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Lý do: Tiền ký cược là một hình thức bảo đảm cho cho việc thực hiện và tuân thủ đúng toàn bộ nghĩa vụ của Khách hàng theo Hợp Đồng cấp tín dụng và có giá trị tương đương như khoản tiền gửi ( Luật Dân sự 2015: “Ký cược là việc bên thuê tài sản là động sản giao cho bên cho thuê một khoản tiền hoặc kim khí quý, đá quý hoặc vật có giá trị khác (sau đây gọi là tài sản kí cược) trong một thời hạn để bảo đảm việc trả lại tài sản thuê"). </w:t>
            </w:r>
            <w:r w:rsidRPr="00AF7630">
              <w:rPr>
                <w:rFonts w:ascii="Times New Roman" w:eastAsia="Times New Roman" w:hAnsi="Times New Roman" w:cs="Times New Roman"/>
                <w:bCs/>
                <w:sz w:val="24"/>
                <w:szCs w:val="24"/>
              </w:rPr>
              <w:br/>
              <w:t>Tiền ký cược có khả năng thu hồi 100% khi xử lý tài sản bảo đảm. Vì vậy, đề nghị NHNN bổ sung khoản</w:t>
            </w:r>
            <w:r w:rsidRPr="00AF7630">
              <w:rPr>
                <w:rFonts w:ascii="Times New Roman" w:eastAsia="Times New Roman" w:hAnsi="Times New Roman" w:cs="Times New Roman"/>
                <w:bCs/>
                <w:i/>
                <w:iCs/>
                <w:sz w:val="24"/>
                <w:szCs w:val="24"/>
              </w:rPr>
              <w:t xml:space="preserve"> "tiền ký cược"</w:t>
            </w:r>
            <w:r w:rsidRPr="00AF7630">
              <w:rPr>
                <w:rFonts w:ascii="Times New Roman" w:eastAsia="Times New Roman" w:hAnsi="Times New Roman" w:cs="Times New Roman"/>
                <w:bCs/>
                <w:sz w:val="24"/>
                <w:szCs w:val="24"/>
              </w:rPr>
              <w:t xml:space="preserve"> vào vào phần giải thích cho</w:t>
            </w:r>
            <w:r w:rsidRPr="00AF7630">
              <w:rPr>
                <w:rFonts w:ascii="Times New Roman" w:eastAsia="Times New Roman" w:hAnsi="Times New Roman" w:cs="Times New Roman"/>
                <w:bCs/>
                <w:i/>
                <w:iCs/>
                <w:sz w:val="24"/>
                <w:szCs w:val="24"/>
              </w:rPr>
              <w:t xml:space="preserve"> "Số dư tiền gửi"</w:t>
            </w:r>
            <w:r w:rsidRPr="00AF7630">
              <w:rPr>
                <w:rFonts w:ascii="Times New Roman" w:eastAsia="Times New Roman" w:hAnsi="Times New Roman" w:cs="Times New Roman"/>
                <w:bCs/>
                <w:sz w:val="24"/>
                <w:szCs w:val="24"/>
              </w:rPr>
              <w:t xml:space="preserve"> tại Điểm a Khoản 2 Điều 6.</w:t>
            </w:r>
          </w:p>
        </w:tc>
        <w:tc>
          <w:tcPr>
            <w:tcW w:w="2268" w:type="dxa"/>
          </w:tcPr>
          <w:p w:rsidR="00FF1DD4" w:rsidRPr="00AF7630" w:rsidRDefault="00FF1DD4" w:rsidP="0001557F">
            <w:pPr>
              <w:jc w:val="both"/>
              <w:rPr>
                <w:rFonts w:ascii="Times New Roman" w:hAnsi="Times New Roman" w:cs="Times New Roman"/>
                <w:sz w:val="24"/>
                <w:szCs w:val="24"/>
              </w:rPr>
            </w:pPr>
            <w:r w:rsidRPr="00AF7630">
              <w:rPr>
                <w:rFonts w:ascii="Times New Roman" w:hAnsi="Times New Roman" w:cs="Times New Roman"/>
                <w:sz w:val="24"/>
                <w:szCs w:val="24"/>
              </w:rPr>
              <w:t>BIDV-SuMi TRUST Leasing</w:t>
            </w:r>
          </w:p>
        </w:tc>
        <w:tc>
          <w:tcPr>
            <w:tcW w:w="4677" w:type="dxa"/>
          </w:tcPr>
          <w:p w:rsidR="00FF1DD4" w:rsidRPr="00AF7630" w:rsidRDefault="00FF1DD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Tài sản ký cược là tài sản được bảo đảm cho việc trả lại tài sản thuê trong hoạt động thuê tài sản, theo đó không phải là TSBĐ trong hợp đồng tín dụng.</w:t>
            </w:r>
          </w:p>
        </w:tc>
      </w:tr>
      <w:tr w:rsidR="000D7FC4" w:rsidRPr="00AF7630" w:rsidTr="0069372A">
        <w:tc>
          <w:tcPr>
            <w:tcW w:w="297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Điểm e, g khoản 2 Điều 6 DTNĐ:</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e) Chứng khoán chưa được niêm yết trên Sở giao dịch chứng khoán, giấy tờ có giá, trừ các khoản quy định tại </w:t>
            </w:r>
            <w:r w:rsidRPr="00AF7630">
              <w:rPr>
                <w:rFonts w:ascii="Times New Roman" w:eastAsia="Times New Roman" w:hAnsi="Times New Roman" w:cs="Times New Roman"/>
                <w:i/>
                <w:sz w:val="24"/>
                <w:szCs w:val="24"/>
              </w:rPr>
              <w:t>điểm</w:t>
            </w:r>
            <w:r w:rsidRPr="00AF7630">
              <w:rPr>
                <w:rFonts w:ascii="Times New Roman" w:eastAsia="Times New Roman" w:hAnsi="Times New Roman" w:cs="Times New Roman"/>
                <w:i/>
                <w:sz w:val="24"/>
                <w:szCs w:val="24"/>
                <w:lang w:val="vi-VN"/>
              </w:rPr>
              <w:t xml:space="preserve"> c </w:t>
            </w:r>
            <w:r w:rsidRPr="00AF7630">
              <w:rPr>
                <w:rFonts w:ascii="Times New Roman" w:eastAsia="Times New Roman" w:hAnsi="Times New Roman" w:cs="Times New Roman"/>
                <w:i/>
                <w:sz w:val="24"/>
                <w:szCs w:val="24"/>
              </w:rPr>
              <w:t>Khoản</w:t>
            </w:r>
            <w:r w:rsidRPr="00AF7630">
              <w:rPr>
                <w:rFonts w:ascii="Times New Roman" w:eastAsia="Times New Roman" w:hAnsi="Times New Roman" w:cs="Times New Roman"/>
                <w:i/>
                <w:sz w:val="24"/>
                <w:szCs w:val="24"/>
                <w:lang w:val="vi-VN"/>
              </w:rPr>
              <w:t xml:space="preserve"> này, do tổ chức tín dụng</w:t>
            </w:r>
            <w:r w:rsidRPr="00AF7630">
              <w:rPr>
                <w:rFonts w:ascii="Times New Roman" w:eastAsia="Times New Roman" w:hAnsi="Times New Roman" w:cs="Times New Roman"/>
                <w:i/>
                <w:sz w:val="24"/>
                <w:szCs w:val="24"/>
              </w:rPr>
              <w:t xml:space="preserve"> khác</w:t>
            </w:r>
            <w:r w:rsidRPr="00AF7630">
              <w:rPr>
                <w:rFonts w:ascii="Times New Roman" w:eastAsia="Times New Roman" w:hAnsi="Times New Roman" w:cs="Times New Roman"/>
                <w:i/>
                <w:sz w:val="24"/>
                <w:szCs w:val="24"/>
                <w:lang w:val="vi-VN"/>
              </w:rPr>
              <w:t xml:space="preserve"> có đăng ký niêm yết chứng khoán trên Sở giao dịch chứng khoán phát hành: 50%;</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lang w:val="vi-VN"/>
              </w:rPr>
              <w:t>Chứng khoán chưa được niêm yết trên Sở giao dịch chứng khoán, giấy tờ có giá, trừ các khoản quy định tại</w:t>
            </w:r>
            <w:r w:rsidRPr="00AF7630">
              <w:rPr>
                <w:rFonts w:ascii="Times New Roman" w:eastAsia="Times New Roman" w:hAnsi="Times New Roman" w:cs="Times New Roman"/>
                <w:i/>
                <w:sz w:val="24"/>
                <w:szCs w:val="24"/>
              </w:rPr>
              <w:t xml:space="preserve"> điểm </w:t>
            </w:r>
            <w:r w:rsidRPr="00AF7630">
              <w:rPr>
                <w:rFonts w:ascii="Times New Roman" w:eastAsia="Times New Roman" w:hAnsi="Times New Roman" w:cs="Times New Roman"/>
                <w:i/>
                <w:sz w:val="24"/>
                <w:szCs w:val="24"/>
                <w:lang w:val="vi-VN"/>
              </w:rPr>
              <w:t xml:space="preserve">c </w:t>
            </w:r>
            <w:r w:rsidRPr="00AF7630">
              <w:rPr>
                <w:rFonts w:ascii="Times New Roman" w:eastAsia="Times New Roman" w:hAnsi="Times New Roman" w:cs="Times New Roman"/>
                <w:i/>
                <w:sz w:val="24"/>
                <w:szCs w:val="24"/>
              </w:rPr>
              <w:t>Khoản</w:t>
            </w:r>
            <w:r w:rsidRPr="00AF7630">
              <w:rPr>
                <w:rFonts w:ascii="Times New Roman" w:eastAsia="Times New Roman" w:hAnsi="Times New Roman" w:cs="Times New Roman"/>
                <w:i/>
                <w:sz w:val="24"/>
                <w:szCs w:val="24"/>
                <w:lang w:val="vi-VN"/>
              </w:rPr>
              <w:t xml:space="preserve"> này, do tổ chức tín dụng </w:t>
            </w:r>
            <w:r w:rsidRPr="00AF7630">
              <w:rPr>
                <w:rFonts w:ascii="Times New Roman" w:eastAsia="Times New Roman" w:hAnsi="Times New Roman" w:cs="Times New Roman"/>
                <w:i/>
                <w:sz w:val="24"/>
                <w:szCs w:val="24"/>
              </w:rPr>
              <w:t>khác</w:t>
            </w:r>
            <w:r w:rsidRPr="00AF7630">
              <w:rPr>
                <w:rFonts w:ascii="Times New Roman" w:eastAsia="Times New Roman" w:hAnsi="Times New Roman" w:cs="Times New Roman"/>
                <w:i/>
                <w:sz w:val="24"/>
                <w:szCs w:val="24"/>
                <w:lang w:val="vi-VN"/>
              </w:rPr>
              <w:t xml:space="preserve"> không có đăng ký niêm yết chứng khoán trên Sở giao dịch chứng khoán phát hành: 30%;</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g) Chứng khoán chưa được niêm yết trên Sở giao dịch </w:t>
            </w:r>
            <w:r w:rsidRPr="00AF7630">
              <w:rPr>
                <w:rFonts w:ascii="Times New Roman" w:eastAsia="Times New Roman" w:hAnsi="Times New Roman" w:cs="Times New Roman"/>
                <w:i/>
                <w:sz w:val="24"/>
                <w:szCs w:val="24"/>
                <w:lang w:val="vi-VN"/>
              </w:rPr>
              <w:lastRenderedPageBreak/>
              <w:t>chứng khoán, giấy tờ có giá do doanh nghiệp có đăng ký niêm yết chứng khoán trên Sở giao dịch chứng khoán phát hành: 30%;</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Chứng khoán chưa được niêm yết trên Sở giao dịch chứng khoán, giấy tờ có giá do doanh nghiệp không có đăng ký niêm yết chứng khoán trên Sở giao dịch chứng khoán phát hành: 10%;</w:t>
            </w: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Tại điểm e, g khoản 2 Điều 6: Đề nghị làm rõ khái niệm “</w:t>
            </w:r>
            <w:r w:rsidRPr="00AF7630">
              <w:rPr>
                <w:rFonts w:ascii="Times New Roman" w:eastAsia="Times New Roman" w:hAnsi="Times New Roman" w:cs="Times New Roman"/>
                <w:bCs/>
                <w:i/>
                <w:iCs/>
                <w:sz w:val="24"/>
                <w:szCs w:val="24"/>
              </w:rPr>
              <w:t>do tổ chức tín dụng khác có đăng ký niêm yết chứng khoán trên Sở giao dịch chứng khoán phát hành</w:t>
            </w:r>
            <w:r w:rsidRPr="00AF7630">
              <w:rPr>
                <w:rFonts w:ascii="Times New Roman" w:eastAsia="Times New Roman" w:hAnsi="Times New Roman" w:cs="Times New Roman"/>
                <w:bCs/>
                <w:sz w:val="24"/>
                <w:szCs w:val="24"/>
              </w:rPr>
              <w:t>” là “</w:t>
            </w:r>
            <w:r w:rsidRPr="00AF7630">
              <w:rPr>
                <w:rFonts w:ascii="Times New Roman" w:eastAsia="Times New Roman" w:hAnsi="Times New Roman" w:cs="Times New Roman"/>
                <w:bCs/>
                <w:i/>
                <w:iCs/>
                <w:sz w:val="24"/>
                <w:szCs w:val="24"/>
              </w:rPr>
              <w:t>do tổ chức tín dụng khác có đăng ký niêm yết </w:t>
            </w:r>
            <w:r w:rsidRPr="00AF7630">
              <w:rPr>
                <w:rFonts w:ascii="Times New Roman" w:eastAsia="Times New Roman" w:hAnsi="Times New Roman" w:cs="Times New Roman"/>
                <w:b/>
                <w:bCs/>
                <w:i/>
                <w:iCs/>
                <w:sz w:val="24"/>
                <w:szCs w:val="24"/>
              </w:rPr>
              <w:t>cổ phiếu</w:t>
            </w:r>
            <w:r w:rsidRPr="00AF7630">
              <w:rPr>
                <w:rFonts w:ascii="Times New Roman" w:eastAsia="Times New Roman" w:hAnsi="Times New Roman" w:cs="Times New Roman"/>
                <w:bCs/>
                <w:i/>
                <w:iCs/>
                <w:sz w:val="24"/>
                <w:szCs w:val="24"/>
              </w:rPr>
              <w:t> trên Sở giao dịch chứng khoán phát hành</w:t>
            </w:r>
            <w:r w:rsidRPr="00AF7630">
              <w:rPr>
                <w:rFonts w:ascii="Times New Roman" w:eastAsia="Times New Roman" w:hAnsi="Times New Roman" w:cs="Times New Roman"/>
                <w:bCs/>
                <w:sz w:val="24"/>
                <w:szCs w:val="24"/>
              </w:rPr>
              <w:t>” hay là “</w:t>
            </w:r>
            <w:r w:rsidRPr="00AF7630">
              <w:rPr>
                <w:rFonts w:ascii="Times New Roman" w:eastAsia="Times New Roman" w:hAnsi="Times New Roman" w:cs="Times New Roman"/>
                <w:bCs/>
                <w:i/>
                <w:iCs/>
                <w:sz w:val="24"/>
                <w:szCs w:val="24"/>
              </w:rPr>
              <w:t>do tổ chức tín dụng khác có đăng ký niêm yết </w:t>
            </w:r>
            <w:r w:rsidRPr="00AF7630">
              <w:rPr>
                <w:rFonts w:ascii="Times New Roman" w:eastAsia="Times New Roman" w:hAnsi="Times New Roman" w:cs="Times New Roman"/>
                <w:b/>
                <w:bCs/>
                <w:i/>
                <w:iCs/>
                <w:sz w:val="24"/>
                <w:szCs w:val="24"/>
              </w:rPr>
              <w:t>cổ phiếu hoặc trái phiếu</w:t>
            </w:r>
            <w:r w:rsidRPr="00AF7630">
              <w:rPr>
                <w:rFonts w:ascii="Times New Roman" w:eastAsia="Times New Roman" w:hAnsi="Times New Roman" w:cs="Times New Roman"/>
                <w:bCs/>
                <w:i/>
                <w:iCs/>
                <w:sz w:val="24"/>
                <w:szCs w:val="24"/>
              </w:rPr>
              <w:t> trên Sở giao dịch chứng khoán phát hành</w:t>
            </w:r>
            <w:r w:rsidRPr="00AF7630">
              <w:rPr>
                <w:rFonts w:ascii="Times New Roman" w:eastAsia="Times New Roman" w:hAnsi="Times New Roman" w:cs="Times New Roman"/>
                <w:bCs/>
                <w:sz w:val="24"/>
                <w:szCs w:val="24"/>
              </w:rPr>
              <w:t>”</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MSB</w:t>
            </w:r>
          </w:p>
        </w:tc>
        <w:tc>
          <w:tcPr>
            <w:tcW w:w="4677" w:type="dxa"/>
          </w:tcPr>
          <w:p w:rsidR="000D7FC4" w:rsidRPr="00AF7630" w:rsidRDefault="000D7FC4" w:rsidP="00560AE0">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điểm e, g khoản 2 Điều 6 như sau:</w:t>
            </w:r>
          </w:p>
          <w:p w:rsidR="000D7FC4" w:rsidRPr="00AF7630" w:rsidRDefault="000D7FC4" w:rsidP="00560AE0">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e) Chứng khoán chưa được niêm yết trên Sở giao dịch chứng khoán, giấy tờ có giá, trừ các khoản quy định tại </w:t>
            </w:r>
            <w:r w:rsidRPr="00AF7630">
              <w:rPr>
                <w:rFonts w:ascii="Times New Roman" w:eastAsia="Times New Roman" w:hAnsi="Times New Roman" w:cs="Times New Roman"/>
                <w:i/>
                <w:sz w:val="24"/>
                <w:szCs w:val="24"/>
              </w:rPr>
              <w:t>điểm</w:t>
            </w:r>
            <w:r w:rsidRPr="00AF7630">
              <w:rPr>
                <w:rFonts w:ascii="Times New Roman" w:eastAsia="Times New Roman" w:hAnsi="Times New Roman" w:cs="Times New Roman"/>
                <w:i/>
                <w:sz w:val="24"/>
                <w:szCs w:val="24"/>
                <w:lang w:val="vi-VN"/>
              </w:rPr>
              <w:t xml:space="preserve"> c </w:t>
            </w:r>
            <w:r w:rsidRPr="00AF7630">
              <w:rPr>
                <w:rFonts w:ascii="Times New Roman" w:eastAsia="Times New Roman" w:hAnsi="Times New Roman" w:cs="Times New Roman"/>
                <w:i/>
                <w:sz w:val="24"/>
                <w:szCs w:val="24"/>
              </w:rPr>
              <w:t>khoản</w:t>
            </w:r>
            <w:r w:rsidRPr="00AF7630">
              <w:rPr>
                <w:rFonts w:ascii="Times New Roman" w:eastAsia="Times New Roman" w:hAnsi="Times New Roman" w:cs="Times New Roman"/>
                <w:i/>
                <w:sz w:val="24"/>
                <w:szCs w:val="24"/>
                <w:lang w:val="vi-VN"/>
              </w:rPr>
              <w:t xml:space="preserve"> này, do tổ chức tín dụng</w:t>
            </w:r>
            <w:r w:rsidRPr="00AF7630">
              <w:rPr>
                <w:rFonts w:ascii="Times New Roman" w:eastAsia="Times New Roman" w:hAnsi="Times New Roman" w:cs="Times New Roman"/>
                <w:i/>
                <w:sz w:val="24"/>
                <w:szCs w:val="24"/>
              </w:rPr>
              <w:t xml:space="preserve"> khác</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u w:val="single"/>
              </w:rPr>
              <w:t xml:space="preserve">có </w:t>
            </w:r>
            <w:r w:rsidRPr="00AF7630">
              <w:rPr>
                <w:rFonts w:ascii="Times New Roman" w:eastAsia="Times New Roman" w:hAnsi="Times New Roman" w:cs="Times New Roman"/>
                <w:i/>
                <w:sz w:val="24"/>
                <w:szCs w:val="24"/>
                <w:u w:val="single"/>
                <w:lang w:val="vi-VN"/>
              </w:rPr>
              <w:t xml:space="preserve">niêm yết </w:t>
            </w:r>
            <w:r w:rsidRPr="00AF7630">
              <w:rPr>
                <w:rFonts w:ascii="Times New Roman" w:eastAsia="Times New Roman" w:hAnsi="Times New Roman" w:cs="Times New Roman"/>
                <w:i/>
                <w:sz w:val="24"/>
                <w:szCs w:val="24"/>
                <w:u w:val="single"/>
              </w:rPr>
              <w:t>cổ phiếu</w:t>
            </w:r>
            <w:r w:rsidRPr="00AF7630">
              <w:rPr>
                <w:rFonts w:ascii="Times New Roman" w:eastAsia="Times New Roman" w:hAnsi="Times New Roman" w:cs="Times New Roman"/>
                <w:i/>
                <w:sz w:val="24"/>
                <w:szCs w:val="24"/>
                <w:lang w:val="vi-VN"/>
              </w:rPr>
              <w:t xml:space="preserve"> trên Sở giao dịch chứng khoán phát hành: 50%;</w:t>
            </w:r>
          </w:p>
          <w:p w:rsidR="000D7FC4" w:rsidRPr="00AF7630" w:rsidRDefault="000D7FC4" w:rsidP="00560AE0">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Chứng khoán chưa được niêm yết trên Sở giao dịch chứng khoán, giấy tờ có giá, trừ các khoản quy định tại</w:t>
            </w:r>
            <w:r w:rsidRPr="00AF7630">
              <w:rPr>
                <w:rFonts w:ascii="Times New Roman" w:eastAsia="Times New Roman" w:hAnsi="Times New Roman" w:cs="Times New Roman"/>
                <w:i/>
                <w:sz w:val="24"/>
                <w:szCs w:val="24"/>
              </w:rPr>
              <w:t xml:space="preserve"> điểm </w:t>
            </w:r>
            <w:r w:rsidRPr="00AF7630">
              <w:rPr>
                <w:rFonts w:ascii="Times New Roman" w:eastAsia="Times New Roman" w:hAnsi="Times New Roman" w:cs="Times New Roman"/>
                <w:i/>
                <w:sz w:val="24"/>
                <w:szCs w:val="24"/>
                <w:lang w:val="vi-VN"/>
              </w:rPr>
              <w:t xml:space="preserve">c </w:t>
            </w:r>
            <w:r w:rsidRPr="00AF7630">
              <w:rPr>
                <w:rFonts w:ascii="Times New Roman" w:eastAsia="Times New Roman" w:hAnsi="Times New Roman" w:cs="Times New Roman"/>
                <w:i/>
                <w:sz w:val="24"/>
                <w:szCs w:val="24"/>
              </w:rPr>
              <w:t>khoản</w:t>
            </w:r>
            <w:r w:rsidRPr="00AF7630">
              <w:rPr>
                <w:rFonts w:ascii="Times New Roman" w:eastAsia="Times New Roman" w:hAnsi="Times New Roman" w:cs="Times New Roman"/>
                <w:i/>
                <w:sz w:val="24"/>
                <w:szCs w:val="24"/>
                <w:lang w:val="vi-VN"/>
              </w:rPr>
              <w:t xml:space="preserve"> này, do tổ chức tín dụng </w:t>
            </w:r>
            <w:r w:rsidRPr="00AF7630">
              <w:rPr>
                <w:rFonts w:ascii="Times New Roman" w:eastAsia="Times New Roman" w:hAnsi="Times New Roman" w:cs="Times New Roman"/>
                <w:i/>
                <w:sz w:val="24"/>
                <w:szCs w:val="24"/>
              </w:rPr>
              <w:t>khác</w:t>
            </w:r>
            <w:r w:rsidRPr="00AF7630">
              <w:rPr>
                <w:rFonts w:ascii="Times New Roman" w:eastAsia="Times New Roman" w:hAnsi="Times New Roman" w:cs="Times New Roman"/>
                <w:i/>
                <w:sz w:val="24"/>
                <w:szCs w:val="24"/>
                <w:lang w:val="vi-VN"/>
              </w:rPr>
              <w:t xml:space="preserve"> </w:t>
            </w:r>
            <w:r w:rsidRPr="00AF7630">
              <w:rPr>
                <w:rFonts w:ascii="Times New Roman" w:eastAsia="Times New Roman" w:hAnsi="Times New Roman" w:cs="Times New Roman"/>
                <w:i/>
                <w:sz w:val="24"/>
                <w:szCs w:val="24"/>
                <w:u w:val="single"/>
              </w:rPr>
              <w:t>chưa</w:t>
            </w:r>
            <w:r w:rsidRPr="00AF7630">
              <w:rPr>
                <w:rFonts w:ascii="Times New Roman" w:eastAsia="Times New Roman" w:hAnsi="Times New Roman" w:cs="Times New Roman"/>
                <w:i/>
                <w:sz w:val="24"/>
                <w:szCs w:val="24"/>
                <w:u w:val="single"/>
                <w:lang w:val="vi-VN"/>
              </w:rPr>
              <w:t xml:space="preserve"> niêm yết </w:t>
            </w:r>
            <w:r w:rsidRPr="00AF7630">
              <w:rPr>
                <w:rFonts w:ascii="Times New Roman" w:eastAsia="Times New Roman" w:hAnsi="Times New Roman" w:cs="Times New Roman"/>
                <w:i/>
                <w:sz w:val="24"/>
                <w:szCs w:val="24"/>
                <w:u w:val="single"/>
              </w:rPr>
              <w:t>cổ phiếu</w:t>
            </w:r>
            <w:r w:rsidRPr="00AF7630">
              <w:rPr>
                <w:rFonts w:ascii="Times New Roman" w:eastAsia="Times New Roman" w:hAnsi="Times New Roman" w:cs="Times New Roman"/>
                <w:i/>
                <w:sz w:val="24"/>
                <w:szCs w:val="24"/>
                <w:lang w:val="vi-VN"/>
              </w:rPr>
              <w:t xml:space="preserve"> trên Sở giao dịch chứng khoán phát hành: 30%;</w:t>
            </w:r>
          </w:p>
          <w:p w:rsidR="000D7FC4" w:rsidRPr="00AF7630" w:rsidRDefault="000D7FC4" w:rsidP="00560AE0">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lang w:val="vi-VN"/>
              </w:rPr>
              <w:t xml:space="preserve">g) Chứng khoán chưa được niêm yết trên Sở giao dịch chứng khoán, giấy tờ có giá do doanh nghiệp </w:t>
            </w:r>
            <w:r w:rsidRPr="00AF7630">
              <w:rPr>
                <w:rFonts w:ascii="Times New Roman" w:eastAsia="Times New Roman" w:hAnsi="Times New Roman" w:cs="Times New Roman"/>
                <w:i/>
                <w:sz w:val="24"/>
                <w:szCs w:val="24"/>
                <w:u w:val="single"/>
              </w:rPr>
              <w:t xml:space="preserve">có </w:t>
            </w:r>
            <w:r w:rsidRPr="00AF7630">
              <w:rPr>
                <w:rFonts w:ascii="Times New Roman" w:eastAsia="Times New Roman" w:hAnsi="Times New Roman" w:cs="Times New Roman"/>
                <w:i/>
                <w:sz w:val="24"/>
                <w:szCs w:val="24"/>
                <w:u w:val="single"/>
                <w:lang w:val="vi-VN"/>
              </w:rPr>
              <w:t xml:space="preserve">niêm yết </w:t>
            </w:r>
            <w:r w:rsidRPr="00AF7630">
              <w:rPr>
                <w:rFonts w:ascii="Times New Roman" w:eastAsia="Times New Roman" w:hAnsi="Times New Roman" w:cs="Times New Roman"/>
                <w:i/>
                <w:sz w:val="24"/>
                <w:szCs w:val="24"/>
                <w:u w:val="single"/>
              </w:rPr>
              <w:t>cổ phiếu</w:t>
            </w:r>
            <w:r w:rsidRPr="00AF7630">
              <w:rPr>
                <w:rFonts w:ascii="Times New Roman" w:eastAsia="Times New Roman" w:hAnsi="Times New Roman" w:cs="Times New Roman"/>
                <w:i/>
                <w:sz w:val="24"/>
                <w:szCs w:val="24"/>
                <w:lang w:val="vi-VN"/>
              </w:rPr>
              <w:t xml:space="preserve"> trên Sở giao dịch chứng khoán phát hành: 30%;</w:t>
            </w:r>
          </w:p>
          <w:p w:rsidR="000D7FC4" w:rsidRPr="00AF7630" w:rsidRDefault="000D7FC4" w:rsidP="00560AE0">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Chứng khoán chưa được niêm yết trên Sở giao dịch chứng khoán, giấy tờ có giá do doanh nghiệp </w:t>
            </w:r>
            <w:r w:rsidRPr="00AF7630">
              <w:rPr>
                <w:rFonts w:ascii="Times New Roman" w:eastAsia="Times New Roman" w:hAnsi="Times New Roman" w:cs="Times New Roman"/>
                <w:i/>
                <w:sz w:val="24"/>
                <w:szCs w:val="24"/>
                <w:u w:val="single"/>
              </w:rPr>
              <w:t>chưa</w:t>
            </w:r>
            <w:r w:rsidRPr="00AF7630">
              <w:rPr>
                <w:rFonts w:ascii="Times New Roman" w:eastAsia="Times New Roman" w:hAnsi="Times New Roman" w:cs="Times New Roman"/>
                <w:i/>
                <w:sz w:val="24"/>
                <w:szCs w:val="24"/>
                <w:u w:val="single"/>
                <w:lang w:val="vi-VN"/>
              </w:rPr>
              <w:t xml:space="preserve"> niêm yết </w:t>
            </w:r>
            <w:r w:rsidRPr="00AF7630">
              <w:rPr>
                <w:rFonts w:ascii="Times New Roman" w:eastAsia="Times New Roman" w:hAnsi="Times New Roman" w:cs="Times New Roman"/>
                <w:i/>
                <w:sz w:val="24"/>
                <w:szCs w:val="24"/>
                <w:u w:val="single"/>
              </w:rPr>
              <w:t>cổ phiếu</w:t>
            </w:r>
            <w:r w:rsidRPr="00AF7630">
              <w:rPr>
                <w:rFonts w:ascii="Times New Roman" w:eastAsia="Times New Roman" w:hAnsi="Times New Roman" w:cs="Times New Roman"/>
                <w:i/>
                <w:sz w:val="24"/>
                <w:szCs w:val="24"/>
                <w:lang w:val="vi-VN"/>
              </w:rPr>
              <w:t xml:space="preserve"> trên Sở giao dịch chứng khoán phát hành: 10%;</w:t>
            </w:r>
            <w:r w:rsidRPr="00AF7630">
              <w:rPr>
                <w:rFonts w:ascii="Times New Roman" w:eastAsia="Times New Roman" w:hAnsi="Times New Roman" w:cs="Times New Roman"/>
                <w:i/>
                <w:sz w:val="24"/>
                <w:szCs w:val="24"/>
              </w:rPr>
              <w:t>”</w:t>
            </w:r>
          </w:p>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69372A">
        <w:tc>
          <w:tcPr>
            <w:tcW w:w="2978" w:type="dxa"/>
            <w:vMerge w:val="restart"/>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1 Điều 7 DTNĐ:</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“1. Đối với tổ chức tín dụng (trừ tổ chức tài chính vi mô), chi nhánh ngân hàng nước ngoài, số tiền dự phòng chung phải trích được xác định bằng 0,75% tổng số dư các khoản nợ được phân loại từ nợ nhóm 1 đến nợ nhóm 4, trừ các khoản sau đây:</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a) Tiền gửi tại tổ chức tín dụng, chi nhánh ngân hàng nước ngoài theo quy định của pháp luật và tiền gửi tại tổ chức tín dụng ở nước ngoài.</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b) Khoản cho vay, mua có kỳ hạn giấy tờ có giá giữa các tổ chức tín dụng, chi nhánh ngân hàng nước ngoài tại Việt Nam.</w:t>
            </w:r>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c) Khoản mua chứng chỉ tiền gửi, trái phiếu do tổ </w:t>
            </w:r>
            <w:r w:rsidRPr="00AF7630">
              <w:rPr>
                <w:rFonts w:ascii="Times New Roman" w:eastAsia="Times New Roman" w:hAnsi="Times New Roman" w:cs="Times New Roman"/>
                <w:i/>
                <w:sz w:val="24"/>
                <w:szCs w:val="24"/>
                <w:lang w:val="vi-VN"/>
              </w:rPr>
              <w:lastRenderedPageBreak/>
              <w:t>chức tín dụng, chi nhánh ngân hàng nước ngoài khác phát hành trong nước.</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d) Khoản mua bán lại trái phiếu Chính phủ trên thị trường chứng khoán theo quy định của pháp luật về phát hành, đăng ký, lưu ký, niêm yết và giao dịch công cụ nợ của Chính phủ trên thị trường chứng khoán.”</w:t>
            </w: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Khoản 1 Điều 7 Dự thảo Nghị định có quy định về mức trích lập dự phòng chung, không có loại trừ đối với thư tín dụng. Điều này có được hiểu là thư tín dụng cũng phải thực hiện trích lập dự phòng chung theo quy định hay không? Tuy nhiên, xét về bản chất thư tín dụng cũng giống như các khoản bảo lãnh khác, nếu chứng từ xuất trình phù hợp nhưng khi đến hạn thực hiện nghĩa vụ mà khách hàng không thực hiện mới phát sinh nghĩa vụ trả thay nên đề xuất Đơn vị soạn thảo xem xét cơ chế trích lập dự phòng như các khoản bảo lãnh khác.</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SAIGONBANK</w:t>
            </w:r>
          </w:p>
        </w:tc>
        <w:tc>
          <w:tcPr>
            <w:tcW w:w="4677" w:type="dxa"/>
            <w:vMerge w:val="restart"/>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bổ sung điểm đ khoản 1 Điều 7 Dự thảo Nghị định để loại trừ đối với các trường hợp khác mà khoản nợ phát sinh trên thị trường 2 giữa các TCTD, chi nhánh NHNg như sau:</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“đ) Các khoản nợ khác phát sinh từ hoạt động quy định tại khoản 2 Điều 1 Nghị định này </w:t>
            </w:r>
            <w:r w:rsidRPr="00AF7630">
              <w:rPr>
                <w:rFonts w:ascii="Times New Roman" w:eastAsia="Times New Roman" w:hAnsi="Times New Roman" w:cs="Times New Roman"/>
                <w:i/>
                <w:sz w:val="24"/>
                <w:szCs w:val="24"/>
                <w:lang w:val="vi-VN"/>
              </w:rPr>
              <w:t>giữa các tổ chức tín dụng, chi nhánh ngân hàng nước ngoài tại Việt Nam</w:t>
            </w:r>
            <w:r w:rsidRPr="00AF7630">
              <w:rPr>
                <w:rFonts w:ascii="Times New Roman" w:eastAsia="Times New Roman" w:hAnsi="Times New Roman" w:cs="Times New Roman"/>
                <w:i/>
                <w:sz w:val="24"/>
                <w:szCs w:val="24"/>
              </w:rPr>
              <w:t xml:space="preserve"> theo quy định của pháp luật.”</w:t>
            </w: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Kính đề nghị NHNN xem xét, bổ sung khoản (e) như sau:</w:t>
            </w:r>
          </w:p>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(e) Khoản mua hẳn miễn truy đòi bộ chứng từ xuất trình theo thư tín dụng.</w:t>
            </w:r>
          </w:p>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t>Lý do:</w:t>
            </w:r>
            <w:r w:rsidRPr="00AF7630">
              <w:rPr>
                <w:rFonts w:ascii="Times New Roman" w:eastAsia="Times New Roman" w:hAnsi="Times New Roman" w:cs="Times New Roman"/>
                <w:bCs/>
                <w:sz w:val="24"/>
                <w:szCs w:val="24"/>
              </w:rPr>
              <w:t xml:space="preserve"> Theo quy định tại “TT PLN”, Điều 9, khoản 13: “Số tiền mua hẳn miễn truy đòi bộ chứng từ xuất trình theo thư tín dụng được phân loại như một khoản cho vay </w:t>
            </w:r>
            <w:r w:rsidRPr="00AF7630">
              <w:rPr>
                <w:rFonts w:ascii="Times New Roman" w:eastAsia="Times New Roman" w:hAnsi="Times New Roman" w:cs="Times New Roman"/>
                <w:bCs/>
                <w:sz w:val="24"/>
                <w:szCs w:val="24"/>
                <w:u w:val="single"/>
              </w:rPr>
              <w:t>đối với ngân hàng phát hành</w:t>
            </w:r>
            <w:r w:rsidRPr="00AF7630">
              <w:rPr>
                <w:rFonts w:ascii="Times New Roman" w:eastAsia="Times New Roman" w:hAnsi="Times New Roman" w:cs="Times New Roman"/>
                <w:bCs/>
                <w:sz w:val="24"/>
                <w:szCs w:val="24"/>
              </w:rPr>
              <w:t>”, do đó, kính đề nghị NHNN cho phép loại trừ khỏi đối tượng trích lập dự phòng chung giống các khoản mục quy định từ điểm (a) đến điểm (d).</w:t>
            </w:r>
          </w:p>
        </w:tc>
        <w:tc>
          <w:tcPr>
            <w:tcW w:w="2268" w:type="dxa"/>
          </w:tcPr>
          <w:p w:rsidR="000D7FC4" w:rsidRPr="00AF7630" w:rsidRDefault="000D7FC4" w:rsidP="0001557F">
            <w:pPr>
              <w:jc w:val="both"/>
              <w:rPr>
                <w:rFonts w:ascii="Times New Roman" w:hAnsi="Times New Roman" w:cs="Times New Roman"/>
                <w:sz w:val="24"/>
                <w:szCs w:val="24"/>
              </w:rPr>
            </w:pPr>
            <w:r w:rsidRPr="00AF7630">
              <w:rPr>
                <w:rFonts w:ascii="Times New Roman" w:hAnsi="Times New Roman" w:cs="Times New Roman"/>
                <w:sz w:val="24"/>
                <w:szCs w:val="24"/>
              </w:rPr>
              <w:t>Shinhan VN</w:t>
            </w:r>
          </w:p>
        </w:tc>
        <w:tc>
          <w:tcPr>
            <w:tcW w:w="4677" w:type="dxa"/>
            <w:vMerge/>
          </w:tcPr>
          <w:p w:rsidR="000D7FC4" w:rsidRPr="00AF7630" w:rsidRDefault="000D7FC4" w:rsidP="0001557F">
            <w:pPr>
              <w:jc w:val="both"/>
              <w:rPr>
                <w:rFonts w:ascii="Times New Roman" w:eastAsia="Times New Roman" w:hAnsi="Times New Roman" w:cs="Times New Roman"/>
                <w:i/>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Đề nghị sửa lại điểm 1b Điều 7 như sau để bao hàm được trường hợp các khoản được phân loại như 1 khoản cho vay giữa các TCTD, chi nhánh NHNg không cần trích lập dự phòng chung như sau:</w:t>
            </w:r>
          </w:p>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“b) Khoản cho vay, </w:t>
            </w:r>
            <w:r w:rsidRPr="00AF7630">
              <w:rPr>
                <w:rFonts w:ascii="Times New Roman" w:eastAsia="Times New Roman" w:hAnsi="Times New Roman" w:cs="Times New Roman"/>
                <w:b/>
                <w:bCs/>
                <w:sz w:val="24"/>
                <w:szCs w:val="24"/>
              </w:rPr>
              <w:t xml:space="preserve">các khoản được phân loại như một </w:t>
            </w:r>
            <w:r w:rsidRPr="00AF7630">
              <w:rPr>
                <w:rFonts w:ascii="Times New Roman" w:eastAsia="Times New Roman" w:hAnsi="Times New Roman" w:cs="Times New Roman"/>
                <w:b/>
                <w:bCs/>
                <w:sz w:val="24"/>
                <w:szCs w:val="24"/>
              </w:rPr>
              <w:lastRenderedPageBreak/>
              <w:t>khoản cho vay và</w:t>
            </w:r>
            <w:r w:rsidRPr="00AF7630">
              <w:rPr>
                <w:rFonts w:ascii="Times New Roman" w:eastAsia="Times New Roman" w:hAnsi="Times New Roman" w:cs="Times New Roman"/>
                <w:bCs/>
                <w:sz w:val="24"/>
                <w:szCs w:val="24"/>
              </w:rPr>
              <w:t xml:space="preserve"> mua</w:t>
            </w:r>
            <w:r w:rsidRPr="00AF7630">
              <w:rPr>
                <w:rFonts w:ascii="Times New Roman" w:hAnsi="Times New Roman" w:cs="Times New Roman"/>
                <w:sz w:val="24"/>
                <w:szCs w:val="24"/>
              </w:rPr>
              <w:t xml:space="preserve"> </w:t>
            </w:r>
            <w:r w:rsidRPr="00AF7630">
              <w:rPr>
                <w:rFonts w:ascii="Times New Roman" w:eastAsia="Times New Roman" w:hAnsi="Times New Roman" w:cs="Times New Roman"/>
                <w:bCs/>
                <w:sz w:val="24"/>
                <w:szCs w:val="24"/>
              </w:rPr>
              <w:t>có kỳ hạn giấy tờ có giá giữa các tổ chức tín dụng, chi nhánh ngân hàng nước ngoài tại Việt Nam.”</w:t>
            </w:r>
          </w:p>
        </w:tc>
        <w:tc>
          <w:tcPr>
            <w:tcW w:w="2268" w:type="dxa"/>
          </w:tcPr>
          <w:p w:rsidR="000D7FC4" w:rsidRPr="00AF7630" w:rsidRDefault="000D7FC4" w:rsidP="0001557F">
            <w:pPr>
              <w:jc w:val="both"/>
              <w:rPr>
                <w:rFonts w:ascii="Times New Roman" w:hAnsi="Times New Roman" w:cs="Times New Roman"/>
                <w:sz w:val="24"/>
                <w:szCs w:val="24"/>
              </w:rPr>
            </w:pPr>
            <w:r w:rsidRPr="00AF7630">
              <w:rPr>
                <w:rFonts w:ascii="Times New Roman" w:hAnsi="Times New Roman" w:cs="Times New Roman"/>
                <w:sz w:val="24"/>
                <w:szCs w:val="24"/>
              </w:rPr>
              <w:lastRenderedPageBreak/>
              <w:t>Mizuho HN</w:t>
            </w:r>
          </w:p>
        </w:tc>
        <w:tc>
          <w:tcPr>
            <w:tcW w:w="4677" w:type="dxa"/>
            <w:vMerge/>
          </w:tcPr>
          <w:p w:rsidR="000D7FC4" w:rsidRPr="00AF7630" w:rsidRDefault="000D7FC4" w:rsidP="0001557F">
            <w:pPr>
              <w:jc w:val="both"/>
              <w:rPr>
                <w:rFonts w:ascii="Times New Roman" w:eastAsia="Times New Roman" w:hAnsi="Times New Roman" w:cs="Times New Roman"/>
                <w:i/>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Dự phòng chung tính trên số dư nợ, trong khi dự phòng cụ thể tính trên dư nợ trừ TS đảm bảo. Nhóm nợ từ 2 đến 4 đã trích dự phòng cụ thể và khi giá trị TS đảm bảo lớn hơn giá trị nợ thì không có rủi ro và DP cụ thể = 0 theo công thức tại Nghị định. Nếu DP chung bao gồm cả nhóm nợ từ 2 đến 4 thì sẽ có trường hợp rủi ro = 0, dự phòng cụ thể = 0 nhưng vẫn trích DP chung vì DP chung tính trên dư nợ và kết quả là dự phòng lớn hơn rủi ro. Đề nghị dự phòng chung chỉ trích trên số dư nợ nhóm 1 </w:t>
            </w:r>
            <w:r w:rsidRPr="00AF7630">
              <w:rPr>
                <w:rFonts w:ascii="Times New Roman" w:eastAsia="Times New Roman" w:hAnsi="Times New Roman" w:cs="Times New Roman"/>
                <w:bCs/>
                <w:i/>
                <w:sz w:val="24"/>
                <w:szCs w:val="24"/>
              </w:rPr>
              <w:t>(Điều 3.5 về định nghĩa dự phòng chung cũng sẽ sửa đổi theo)</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Ngân hàng JPMorgan Chase N.A. – Chi nhánh TP. HCM</w:t>
            </w:r>
          </w:p>
        </w:tc>
        <w:tc>
          <w:tcPr>
            <w:tcW w:w="4677"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5 Điều 3 Dự thảo Nghị định quy định về dự phòng chung như sau:</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5. Dự phòng chung là số tiền được trích lập để dự phòng cho những rủi ro có thể xảy ra nhưng chưa xác định được khi trích lập dự phòng cụ thể.</w:t>
            </w:r>
            <w:r w:rsidRPr="00AF7630">
              <w:rPr>
                <w:rFonts w:ascii="Times New Roman" w:eastAsia="Times New Roman" w:hAnsi="Times New Roman" w:cs="Times New Roman"/>
                <w:i/>
                <w:sz w:val="24"/>
                <w:szCs w:val="24"/>
              </w:rPr>
              <w: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quy định về trích dự phòng chung tại Dự thảo Nghị định là phù hợp.</w:t>
            </w:r>
          </w:p>
        </w:tc>
      </w:tr>
      <w:tr w:rsidR="000D7FC4" w:rsidRPr="00AF7630" w:rsidTr="0069372A">
        <w:tc>
          <w:tcPr>
            <w:tcW w:w="2978" w:type="dxa"/>
            <w:vMerge w:val="restart"/>
          </w:tcPr>
          <w:p w:rsidR="000D7FC4" w:rsidRPr="00AF7630" w:rsidRDefault="000D7FC4" w:rsidP="0001557F">
            <w:pPr>
              <w:jc w:val="both"/>
              <w:rPr>
                <w:rFonts w:ascii="Times New Roman" w:eastAsia="Times New Roman" w:hAnsi="Times New Roman" w:cs="Times New Roman"/>
                <w:sz w:val="24"/>
                <w:szCs w:val="24"/>
              </w:rPr>
            </w:pPr>
            <w:bookmarkStart w:id="8" w:name="dieu_14"/>
            <w:r w:rsidRPr="00AF7630">
              <w:rPr>
                <w:rFonts w:ascii="Times New Roman" w:eastAsia="Times New Roman" w:hAnsi="Times New Roman" w:cs="Times New Roman"/>
                <w:sz w:val="24"/>
                <w:szCs w:val="24"/>
              </w:rPr>
              <w:t>Điều 8 DTNĐ:</w:t>
            </w:r>
          </w:p>
          <w:p w:rsidR="000D7FC4" w:rsidRPr="00AF7630" w:rsidRDefault="000D7FC4" w:rsidP="0001557F">
            <w:pPr>
              <w:jc w:val="both"/>
              <w:rPr>
                <w:rFonts w:ascii="Times New Roman" w:eastAsia="Times New Roman" w:hAnsi="Times New Roman" w:cs="Times New Roman"/>
                <w:b/>
                <w:i/>
                <w:sz w:val="24"/>
                <w:szCs w:val="24"/>
                <w:lang w:val="vi-VN"/>
              </w:rPr>
            </w:pPr>
            <w:r w:rsidRPr="00AF7630">
              <w:rPr>
                <w:rFonts w:ascii="Times New Roman" w:eastAsia="Times New Roman" w:hAnsi="Times New Roman" w:cs="Times New Roman"/>
                <w:b/>
                <w:i/>
                <w:sz w:val="24"/>
                <w:szCs w:val="24"/>
              </w:rPr>
              <w:t>“</w:t>
            </w:r>
            <w:r w:rsidRPr="00AF7630">
              <w:rPr>
                <w:rFonts w:ascii="Times New Roman" w:eastAsia="Times New Roman" w:hAnsi="Times New Roman" w:cs="Times New Roman"/>
                <w:b/>
                <w:i/>
                <w:sz w:val="24"/>
                <w:szCs w:val="24"/>
                <w:lang w:val="vi-VN"/>
              </w:rPr>
              <w:t xml:space="preserve">Điều </w:t>
            </w:r>
            <w:r w:rsidRPr="00AF7630">
              <w:rPr>
                <w:rFonts w:ascii="Times New Roman" w:eastAsia="Times New Roman" w:hAnsi="Times New Roman" w:cs="Times New Roman"/>
                <w:b/>
                <w:i/>
                <w:sz w:val="24"/>
                <w:szCs w:val="24"/>
              </w:rPr>
              <w:t>8</w:t>
            </w:r>
            <w:r w:rsidRPr="00AF7630">
              <w:rPr>
                <w:rFonts w:ascii="Times New Roman" w:eastAsia="Times New Roman" w:hAnsi="Times New Roman" w:cs="Times New Roman"/>
                <w:b/>
                <w:i/>
                <w:sz w:val="24"/>
                <w:szCs w:val="24"/>
                <w:lang w:val="vi-VN"/>
              </w:rPr>
              <w:t>. Bổ sung và hoàn nhập số tiền dự phòng</w:t>
            </w:r>
            <w:bookmarkEnd w:id="8"/>
          </w:p>
          <w:p w:rsidR="000D7FC4" w:rsidRPr="00AF7630" w:rsidRDefault="000D7FC4"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1. Trường hợp số tiền dự phòng cụ thể và dự phòng chung còn lại của kỳ kế toán trước nhỏ hơn số tiền dự phòng cụ thể và dự phòng chung phải trích của kỳ kế toán trích lập, tổ chức tín dụng, chi nhánh ngân hàng nước ngoài phải trích bổ sung phần chênh lệch thiếu.</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i/>
                <w:sz w:val="24"/>
                <w:szCs w:val="24"/>
                <w:lang w:val="vi-VN"/>
              </w:rPr>
              <w:t>2. Trường hợp số tiền dự phòng cụ thể và dự phòng chung còn lại của kỳ kế toán trước lớn hơn số tiền dự phòng cụ thể và dự phòng chung phải trích của kỳ kế toán trích lập, tổ chức tín dụng, chi nhánh ngân hàng nước ngoài phải hoàn nhập phần chênh lệch thừa.</w:t>
            </w:r>
            <w:r w:rsidRPr="00AF7630">
              <w:rPr>
                <w:rFonts w:ascii="Times New Roman" w:eastAsia="Times New Roman" w:hAnsi="Times New Roman" w:cs="Times New Roman"/>
                <w:i/>
                <w:sz w:val="24"/>
                <w:szCs w:val="24"/>
              </w:rPr>
              <w:t>”</w:t>
            </w: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Chỉ lưu ý với Vụ kế toán là hệ thống tài khoản hiện nay chưa có TK hoàn nhập dự phòng mà sử dụng chung với TK “chi lập dự phòng - 882” nên có thể tạo ra số dư có cho TK chi phí này khi hoàn nhập dự phòng.</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Ngân hàng JPMorgan Chase N.A. – Chi nhánh TP. HCM</w:t>
            </w:r>
          </w:p>
        </w:tc>
        <w:tc>
          <w:tcPr>
            <w:tcW w:w="4677"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Nội dung kiến nghị liên quan đến quy định tại văn bản quy phạm khác, không thuộc phạm vi điều chỉnh của Dự thảo Nghị định.</w:t>
            </w: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sz w:val="24"/>
                <w:szCs w:val="24"/>
              </w:rPr>
              <w:t>Đề nghị sửa cụm từ "còn lại" thành  “chưa sử dụng” cho thống nhất với Thông tư 200/2014/TT-BTC hướng dẫn chế độ kế toán doanh nghiệp.</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VietinBank</w:t>
            </w:r>
          </w:p>
        </w:tc>
        <w:tc>
          <w:tcPr>
            <w:tcW w:w="4677" w:type="dxa"/>
          </w:tcPr>
          <w:p w:rsidR="000D7FC4" w:rsidRPr="00AF7630" w:rsidRDefault="000D7FC4" w:rsidP="008855BD">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chỉnh sửa Điều 8 dự thảo Nghị định như sau:</w:t>
            </w:r>
          </w:p>
          <w:p w:rsidR="000D7FC4" w:rsidRPr="00AF7630" w:rsidRDefault="000D7FC4" w:rsidP="008855BD">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1. Trường hợp số tiền dự phòng cụ thể và dự phòng chung </w:t>
            </w:r>
            <w:r w:rsidRPr="00AF7630">
              <w:rPr>
                <w:rFonts w:ascii="Times New Roman" w:eastAsia="Times New Roman" w:hAnsi="Times New Roman" w:cs="Times New Roman"/>
                <w:i/>
                <w:sz w:val="24"/>
                <w:szCs w:val="24"/>
                <w:u w:val="single"/>
              </w:rPr>
              <w:t>chưa sử dụng</w:t>
            </w:r>
            <w:r w:rsidRPr="00AF7630">
              <w:rPr>
                <w:rFonts w:ascii="Times New Roman" w:eastAsia="Times New Roman" w:hAnsi="Times New Roman" w:cs="Times New Roman"/>
                <w:i/>
                <w:sz w:val="24"/>
                <w:szCs w:val="24"/>
                <w:lang w:val="vi-VN"/>
              </w:rPr>
              <w:t xml:space="preserve"> của kỳ kế toán trước nhỏ hơn số tiền dự phòng cụ thể và dự phòng chung phải trích của kỳ kế toán trích lập, tổ chức tín dụng, chi nhánh ngân hàng nước ngoài phải trích</w:t>
            </w:r>
            <w:r w:rsidRPr="00AF7630">
              <w:rPr>
                <w:rFonts w:ascii="Times New Roman" w:eastAsia="Times New Roman" w:hAnsi="Times New Roman" w:cs="Times New Roman"/>
                <w:i/>
                <w:sz w:val="24"/>
                <w:szCs w:val="24"/>
              </w:rPr>
              <w:t xml:space="preserve"> lập</w:t>
            </w:r>
            <w:r w:rsidRPr="00AF7630">
              <w:rPr>
                <w:rFonts w:ascii="Times New Roman" w:eastAsia="Times New Roman" w:hAnsi="Times New Roman" w:cs="Times New Roman"/>
                <w:i/>
                <w:sz w:val="24"/>
                <w:szCs w:val="24"/>
                <w:lang w:val="vi-VN"/>
              </w:rPr>
              <w:t xml:space="preserve"> bổ sung phần chênh lệch thiếu.</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lang w:val="vi-VN"/>
              </w:rPr>
              <w:t xml:space="preserve">2. Trường hợp số tiền dự phòng cụ thể và dự phòng chung </w:t>
            </w:r>
            <w:r w:rsidRPr="00AF7630">
              <w:rPr>
                <w:rFonts w:ascii="Times New Roman" w:eastAsia="Times New Roman" w:hAnsi="Times New Roman" w:cs="Times New Roman"/>
                <w:i/>
                <w:sz w:val="24"/>
                <w:szCs w:val="24"/>
                <w:u w:val="single"/>
              </w:rPr>
              <w:t>chưa sử dụng</w:t>
            </w:r>
            <w:r w:rsidRPr="00AF7630">
              <w:rPr>
                <w:rFonts w:ascii="Times New Roman" w:eastAsia="Times New Roman" w:hAnsi="Times New Roman" w:cs="Times New Roman"/>
                <w:i/>
                <w:sz w:val="24"/>
                <w:szCs w:val="24"/>
                <w:lang w:val="vi-VN"/>
              </w:rPr>
              <w:t xml:space="preserve"> của kỳ kế toán trước lớn hơn số tiền dự phòng cụ thể và dự phòng chung phải trích của kỳ kế toán trích lập, tổ chức tín dụng, chi nhánh ngân hàng nước ngoài phải hoàn nhập phần chênh lệch thừa.</w:t>
            </w:r>
            <w:r w:rsidRPr="00AF7630">
              <w:rPr>
                <w:rFonts w:ascii="Times New Roman" w:eastAsia="Times New Roman" w:hAnsi="Times New Roman" w:cs="Times New Roman"/>
                <w:i/>
                <w:sz w:val="24"/>
                <w:szCs w:val="24"/>
              </w:rPr>
              <w:t>”</w:t>
            </w:r>
          </w:p>
        </w:tc>
      </w:tr>
      <w:tr w:rsidR="000D7FC4" w:rsidRPr="00AF7630" w:rsidTr="005B5082">
        <w:trPr>
          <w:trHeight w:val="27056"/>
        </w:trPr>
        <w:tc>
          <w:tcPr>
            <w:tcW w:w="2978" w:type="dxa"/>
            <w:vMerge w:val="restart"/>
            <w:tcBorders>
              <w:bottom w:val="single" w:sz="4" w:space="0" w:color="auto"/>
            </w:tcBorders>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9 DTNĐ:</w:t>
            </w:r>
          </w:p>
          <w:p w:rsidR="000D7FC4" w:rsidRPr="00AF7630" w:rsidRDefault="000D7FC4" w:rsidP="0001557F">
            <w:pPr>
              <w:jc w:val="both"/>
              <w:rPr>
                <w:rFonts w:ascii="Times New Roman" w:eastAsia="Times New Roman" w:hAnsi="Times New Roman" w:cs="Times New Roman"/>
                <w:b/>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b/>
                <w:i/>
                <w:sz w:val="24"/>
                <w:szCs w:val="24"/>
                <w:lang w:val="vi-VN"/>
              </w:rPr>
              <w:t xml:space="preserve">Điều </w:t>
            </w:r>
            <w:r w:rsidRPr="00AF7630">
              <w:rPr>
                <w:rFonts w:ascii="Times New Roman" w:eastAsia="Times New Roman" w:hAnsi="Times New Roman" w:cs="Times New Roman"/>
                <w:b/>
                <w:i/>
                <w:sz w:val="24"/>
                <w:szCs w:val="24"/>
              </w:rPr>
              <w:t>9</w:t>
            </w:r>
            <w:r w:rsidRPr="00AF7630">
              <w:rPr>
                <w:rFonts w:ascii="Times New Roman" w:eastAsia="Times New Roman" w:hAnsi="Times New Roman" w:cs="Times New Roman"/>
                <w:b/>
                <w:i/>
                <w:sz w:val="24"/>
                <w:szCs w:val="24"/>
                <w:lang w:val="vi-VN"/>
              </w:rPr>
              <w:t>. Thời điểm trích lập dự phòng rủi ro</w:t>
            </w:r>
          </w:p>
          <w:p w:rsidR="000D7FC4" w:rsidRPr="00AF7630" w:rsidRDefault="000D7FC4" w:rsidP="0001557F">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b/>
                <w:i/>
                <w:sz w:val="24"/>
                <w:szCs w:val="24"/>
              </w:rPr>
              <w:t xml:space="preserve">Phương án 1: </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1. Trong 05 (năm) ngày làm việc đầu tiên của tháng, trừ trường hợp quy định tại khoản 2 Điều này, tổ chức tín dụng, chi nhánh ngân hàng nước ngoài căn cứ kết quả tự phân loại nợ theo quy định của Ngân hàng Nhà nước </w:t>
            </w:r>
            <w:r w:rsidRPr="00AF7630">
              <w:rPr>
                <w:rFonts w:ascii="Times New Roman" w:eastAsia="Times New Roman" w:hAnsi="Times New Roman" w:cs="Times New Roman"/>
                <w:i/>
                <w:sz w:val="24"/>
                <w:szCs w:val="24"/>
                <w:lang w:val="vi-VN"/>
              </w:rPr>
              <w:t>về phân loại tài sản có trong hoạt động của tổ chức tín dụng, chi nhánh ngân hàng nước ngoài</w:t>
            </w:r>
            <w:r w:rsidRPr="00AF7630">
              <w:rPr>
                <w:rFonts w:ascii="Times New Roman" w:eastAsia="Times New Roman" w:hAnsi="Times New Roman" w:cs="Times New Roman"/>
                <w:i/>
                <w:sz w:val="24"/>
                <w:szCs w:val="24"/>
              </w:rPr>
              <w:t xml:space="preserve"> để thực hiện trích lập dự phòng rủi ro cho thời điểm cuối ngày cuối cùng của tháng trước liền kề.</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2. Trong 10 (mười) ngày làm việc đầu tiên của tháng đầu tiên của quý, tổ chức tín dụng </w:t>
            </w:r>
            <w:r w:rsidRPr="00AF7630">
              <w:rPr>
                <w:rFonts w:ascii="Times New Roman" w:eastAsia="Times New Roman" w:hAnsi="Times New Roman" w:cs="Times New Roman"/>
                <w:i/>
                <w:sz w:val="24"/>
                <w:szCs w:val="24"/>
                <w:lang w:val="vi-VN"/>
              </w:rPr>
              <w:t>(trừ tổ chức tín dụng là hợp tác xã, tổ chức tài chính vi mô)</w:t>
            </w:r>
            <w:r w:rsidRPr="00AF7630">
              <w:rPr>
                <w:rFonts w:ascii="Times New Roman" w:eastAsia="Times New Roman" w:hAnsi="Times New Roman" w:cs="Times New Roman"/>
                <w:i/>
                <w:sz w:val="24"/>
                <w:szCs w:val="24"/>
              </w:rPr>
              <w:t xml:space="preserve"> , </w:t>
            </w:r>
            <w:r w:rsidRPr="00AF7630">
              <w:rPr>
                <w:rFonts w:ascii="Times New Roman" w:eastAsia="Times New Roman" w:hAnsi="Times New Roman" w:cs="Times New Roman"/>
                <w:i/>
                <w:sz w:val="24"/>
                <w:szCs w:val="24"/>
                <w:lang w:val="vi-VN"/>
              </w:rPr>
              <w:t>chi nhánh ngân hàng nước ngoài</w:t>
            </w:r>
            <w:r w:rsidRPr="00AF7630">
              <w:rPr>
                <w:rFonts w:ascii="Times New Roman" w:eastAsia="Times New Roman" w:hAnsi="Times New Roman" w:cs="Times New Roman"/>
                <w:i/>
                <w:sz w:val="24"/>
                <w:szCs w:val="24"/>
              </w:rPr>
              <w:t xml:space="preserve">, căn cứ kết quả phân loại nợ đã được điều chỉnh theo nhóm nợ của danh sách khách hàng do Trung tâm Thông tin tín dụng quốc gia Việt Nam cung cấp theo quy định của Ngân hàng Nhà nước </w:t>
            </w:r>
            <w:r w:rsidRPr="00AF7630">
              <w:rPr>
                <w:rFonts w:ascii="Times New Roman" w:eastAsia="Times New Roman" w:hAnsi="Times New Roman" w:cs="Times New Roman"/>
                <w:i/>
                <w:sz w:val="24"/>
                <w:szCs w:val="24"/>
                <w:lang w:val="vi-VN"/>
              </w:rPr>
              <w:t xml:space="preserve">về phân loại tài sản có trong hoạt động của tổ chức tín dụng, chi nhánh ngân hàng </w:t>
            </w:r>
            <w:r w:rsidRPr="00AF7630">
              <w:rPr>
                <w:rFonts w:ascii="Times New Roman" w:eastAsia="Times New Roman" w:hAnsi="Times New Roman" w:cs="Times New Roman"/>
                <w:i/>
                <w:sz w:val="24"/>
                <w:szCs w:val="24"/>
                <w:lang w:val="vi-VN"/>
              </w:rPr>
              <w:lastRenderedPageBreak/>
              <w:t>nước ngoài</w:t>
            </w:r>
            <w:r w:rsidRPr="00AF7630">
              <w:rPr>
                <w:rFonts w:ascii="Times New Roman" w:eastAsia="Times New Roman" w:hAnsi="Times New Roman" w:cs="Times New Roman"/>
                <w:i/>
                <w:sz w:val="24"/>
                <w:szCs w:val="24"/>
              </w:rPr>
              <w:t xml:space="preserve"> để thực hiện trích lập dự phòng rủi ro cho thời điểm cuối ngày cuối cùng của tháng trước liền kề.</w:t>
            </w:r>
            <w:r w:rsidRPr="00AF7630" w:rsidDel="00CD35DC">
              <w:rPr>
                <w:rFonts w:ascii="Times New Roman" w:eastAsia="Times New Roman" w:hAnsi="Times New Roman" w:cs="Times New Roman"/>
                <w:i/>
                <w:sz w:val="24"/>
                <w:szCs w:val="24"/>
              </w:rPr>
              <w:t xml:space="preserve"> </w:t>
            </w:r>
          </w:p>
          <w:p w:rsidR="000D7FC4" w:rsidRPr="00AF7630" w:rsidRDefault="000D7FC4" w:rsidP="0001557F">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b/>
                <w:i/>
                <w:sz w:val="24"/>
                <w:szCs w:val="24"/>
              </w:rPr>
              <w:t xml:space="preserve">Phương án 2: </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1. Trong 05 (năm) ngày làm việc đầu tiên của tháng, trừ trường hợp quy định tại khoản 2 Điều này, tổ chức tín dụng </w:t>
            </w:r>
            <w:r w:rsidRPr="00AF7630">
              <w:rPr>
                <w:rFonts w:ascii="Times New Roman" w:eastAsia="Times New Roman" w:hAnsi="Times New Roman" w:cs="Times New Roman"/>
                <w:i/>
                <w:sz w:val="24"/>
                <w:szCs w:val="24"/>
                <w:lang w:val="vi-VN"/>
              </w:rPr>
              <w:t>(trừ tổ chức tín dụng là hợp tác xã, tổ chức tài chính vi mô)</w:t>
            </w:r>
            <w:r w:rsidRPr="00AF7630">
              <w:rPr>
                <w:rFonts w:ascii="Times New Roman" w:eastAsia="Times New Roman" w:hAnsi="Times New Roman" w:cs="Times New Roman"/>
                <w:i/>
                <w:sz w:val="24"/>
                <w:szCs w:val="24"/>
              </w:rPr>
              <w:t>, chi nhánh ngân hàng nước ngoài thực hiện trích lập dự phòng cho thời điểm cuối ngày cuối cùng của tháng trước liền kề căn cứ nhóm nợ có mức độ rủi ro cao hơn giữa:</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a) Nhóm nợ theo kết quả tự phân loại nợ cho thời điểm cuối ngày cuối cùng của tháng trước liền kề theo quy định của Ngân hàng Nhà nước </w:t>
            </w:r>
            <w:r w:rsidRPr="00AF7630">
              <w:rPr>
                <w:rFonts w:ascii="Times New Roman" w:eastAsia="Times New Roman" w:hAnsi="Times New Roman" w:cs="Times New Roman"/>
                <w:i/>
                <w:sz w:val="24"/>
                <w:szCs w:val="24"/>
                <w:lang w:val="vi-VN"/>
              </w:rPr>
              <w:t>về phân loại tài sản có trong hoạt động của tổ chức tín dụng, chi nhánh ngân hàng nước ngoài</w:t>
            </w:r>
            <w:r w:rsidRPr="00AF7630">
              <w:rPr>
                <w:rFonts w:ascii="Times New Roman" w:eastAsia="Times New Roman" w:hAnsi="Times New Roman" w:cs="Times New Roman"/>
                <w:i/>
                <w:sz w:val="24"/>
                <w:szCs w:val="24"/>
              </w:rPr>
              <w:t>; và</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b) Nhóm nợ đã được điều chỉnh theo nhóm nợ của danh sách khách hàng do Trung tâm Thông tin tín dụng quốc gia Việt Nam (CIC) cung cấp theo quy định của Ngân hàng Nhà nước </w:t>
            </w:r>
            <w:r w:rsidRPr="00AF7630">
              <w:rPr>
                <w:rFonts w:ascii="Times New Roman" w:eastAsia="Times New Roman" w:hAnsi="Times New Roman" w:cs="Times New Roman"/>
                <w:i/>
                <w:sz w:val="24"/>
                <w:szCs w:val="24"/>
                <w:lang w:val="vi-VN"/>
              </w:rPr>
              <w:t xml:space="preserve">về phân loại tài sản có trong hoạt động của tổ chức </w:t>
            </w:r>
            <w:r w:rsidRPr="00AF7630">
              <w:rPr>
                <w:rFonts w:ascii="Times New Roman" w:eastAsia="Times New Roman" w:hAnsi="Times New Roman" w:cs="Times New Roman"/>
                <w:i/>
                <w:sz w:val="24"/>
                <w:szCs w:val="24"/>
                <w:lang w:val="vi-VN"/>
              </w:rPr>
              <w:lastRenderedPageBreak/>
              <w:t>tín dụng, chi nhánh ngân hàng nước ngoài</w:t>
            </w:r>
            <w:r w:rsidRPr="00AF7630">
              <w:rPr>
                <w:rFonts w:ascii="Times New Roman" w:eastAsia="Times New Roman" w:hAnsi="Times New Roman" w:cs="Times New Roman"/>
                <w:i/>
                <w:sz w:val="24"/>
                <w:szCs w:val="24"/>
              </w:rPr>
              <w:t xml:space="preserve"> tại thời điểm gần nhất.</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2. Trong 10 (mười) ngày làm việc đầu tiên của tháng đầu tiên của quý, tổ chức tín dụng </w:t>
            </w:r>
            <w:r w:rsidRPr="00AF7630">
              <w:rPr>
                <w:rFonts w:ascii="Times New Roman" w:eastAsia="Times New Roman" w:hAnsi="Times New Roman" w:cs="Times New Roman"/>
                <w:i/>
                <w:sz w:val="24"/>
                <w:szCs w:val="24"/>
                <w:lang w:val="vi-VN"/>
              </w:rPr>
              <w:t>(trừ tổ chức tín dụng là hợp tác xã, tổ chức tài chính vi mô)</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chi nhánh ngân hàng nước ngoài</w:t>
            </w:r>
            <w:r w:rsidRPr="00AF7630">
              <w:rPr>
                <w:rFonts w:ascii="Times New Roman" w:eastAsia="Times New Roman" w:hAnsi="Times New Roman" w:cs="Times New Roman"/>
                <w:i/>
                <w:sz w:val="24"/>
                <w:szCs w:val="24"/>
              </w:rPr>
              <w:t xml:space="preserve"> căn cứ kết quả phân loại nợ đã được điều chỉnh theo nhóm nợ của danh sách khách hàng do CIC cung cấp theo quy định của Ngân hàng Nhà nước </w:t>
            </w:r>
            <w:r w:rsidRPr="00AF7630">
              <w:rPr>
                <w:rFonts w:ascii="Times New Roman" w:eastAsia="Times New Roman" w:hAnsi="Times New Roman" w:cs="Times New Roman"/>
                <w:i/>
                <w:sz w:val="24"/>
                <w:szCs w:val="24"/>
                <w:lang w:val="vi-VN"/>
              </w:rPr>
              <w:t>về phân loại tài sản có trong hoạt động của tổ chức tín dụng, chi nhánh ngân hàng nước ngoài</w:t>
            </w:r>
            <w:r w:rsidRPr="00AF7630">
              <w:rPr>
                <w:rFonts w:ascii="Times New Roman" w:eastAsia="Times New Roman" w:hAnsi="Times New Roman" w:cs="Times New Roman"/>
                <w:i/>
                <w:sz w:val="24"/>
                <w:szCs w:val="24"/>
              </w:rPr>
              <w:t xml:space="preserve"> để thực hiện trích lập dự phòng rủi ro cho thời điểm cuối ngày cuối cùng của tháng trước liền kề.</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 xml:space="preserve">3. Trong 05 (năm) ngày làm việc đầu tiên của tháng, </w:t>
            </w:r>
            <w:r w:rsidRPr="00AF7630">
              <w:rPr>
                <w:rFonts w:ascii="Times New Roman" w:eastAsia="Times New Roman" w:hAnsi="Times New Roman" w:cs="Times New Roman"/>
                <w:i/>
                <w:sz w:val="24"/>
                <w:szCs w:val="24"/>
                <w:lang w:val="vi-VN"/>
              </w:rPr>
              <w:t>tổ chức tín dụng là hợp tác xã, tổ chức tài chính vi mô</w:t>
            </w:r>
            <w:r w:rsidRPr="00AF7630">
              <w:rPr>
                <w:rFonts w:ascii="Times New Roman" w:eastAsia="Times New Roman" w:hAnsi="Times New Roman" w:cs="Times New Roman"/>
                <w:i/>
                <w:sz w:val="24"/>
                <w:szCs w:val="24"/>
              </w:rPr>
              <w:t xml:space="preserve"> căn cứ kết quả tự phân loại nợ theo quy định của Ngân hàng Nhà nước về phân loại tài sản có trong hoạt động của tổ chức tín dụng, chi nhánh ngân hàng nước ngoài để thực hiện trích lập dự phòng rủi ro cho thời điểm cuối ngày cuối cùng của tháng trước liền kề.”</w:t>
            </w:r>
          </w:p>
        </w:tc>
        <w:tc>
          <w:tcPr>
            <w:tcW w:w="5953" w:type="dxa"/>
            <w:tcBorders>
              <w:bottom w:val="single" w:sz="4" w:space="0" w:color="auto"/>
            </w:tcBorders>
          </w:tcPr>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lastRenderedPageBreak/>
              <w:t>Lựa chọn Phương án 1 (21 TCTD lựa chọn):</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Lý do: việc phân loại nợ theo phương án 1 sẽ thuận lợi cho TCTD trong thực hiện và việc trích lập sẽ chính xác hơn so phương án 2, vì theo phương án 2 thì hàng tháng (trong 05 ngày làm việc đầu tiên của tháng) TCTD phải đối chiếu kết quả tự phân loại nợ của TCTD với kết quả nhóm nợ theo danh sách khách hàng do Trung tâm Thông tin tín dụng quốc gia Việt Nam cung cấp sẽ rất khó thực hiện và việc đối chiếu dễ sai sót do thời gian ngắn.</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Đồng thời, đề nghị Ban soạn thảo rà soát, sửa đổi thời điểm trích lập dự phòng rủi ro đối với tổ chức tín dụng là hợp tác xã, tổ chức tài chính vi mô cho phù hợp với thời điểm phân loại tài sản có đang được quy định trong Dự thảo Thông tư quy định về phân loại tài sản có của tổ chức tín dụng là hợp tác xã, tổ chức tài chính vi mô (Ít nhất mỗi quý 1 lần, trong thời hạn 15 ngày làm việc đầu tiên của tháng tiếp theo). Vì Dự thảo Thông tư quy định về phân loại tài sản có của tổ chức tín dụng là hợp tác xã, tổ chức tài chính vi mô có quy định thời điểm định kỳ thực hiện phân loại nợ là vào hàng quý. Vì vậy, trích lập dự phòng rủi ro hàng quý cho phù hợp với nhóm nợ thực tế đã phân loại. </w:t>
            </w:r>
            <w:r w:rsidRPr="00AF7630">
              <w:rPr>
                <w:rFonts w:ascii="Times New Roman" w:eastAsia="Times New Roman" w:hAnsi="Times New Roman" w:cs="Times New Roman"/>
                <w:b/>
                <w:sz w:val="24"/>
                <w:szCs w:val="24"/>
              </w:rPr>
              <w:t>(NHNN CN Sóc Trăng)</w:t>
            </w:r>
            <w:r w:rsidRPr="00AF7630">
              <w:rPr>
                <w:rFonts w:ascii="Times New Roman" w:eastAsia="Times New Roman" w:hAnsi="Times New Roman" w:cs="Times New Roman"/>
                <w:sz w:val="24"/>
                <w:szCs w:val="24"/>
              </w:rPr>
              <w: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ACB lựa chọn PA1, đồng thời đề xuất điều chỉnh Quy định nội dung tại khoản 2, Điều 9 của PA1 như sau: </w:t>
            </w:r>
          </w:p>
          <w:p w:rsidR="000D7FC4" w:rsidRPr="00AF7630" w:rsidRDefault="000D7FC4" w:rsidP="0001557F">
            <w:pPr>
              <w:ind w:left="-108"/>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 Thời gian thực hiện TLDP nên được quy định tương tự thời gian thực hiện PLN được quy định tại khoản 2, 3 Điều 8 - Thời điểm, trình tự phân loại nợ tại Dự thảo Thông tư Quy định về phân loại tài sản có.</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Việc thực hiện TLDP điều chỉnh theo nhóm nợ của danh sách khách hàng do CIC cung cấp nên thực hiện định kỳ hàng tháng (thay vì dự thảo Nghị định đang là tháng đầu tiên của Quý). </w:t>
            </w:r>
            <w:r w:rsidRPr="00AF7630">
              <w:rPr>
                <w:rFonts w:ascii="Times New Roman" w:eastAsia="Times New Roman" w:hAnsi="Times New Roman" w:cs="Times New Roman"/>
                <w:b/>
                <w:sz w:val="24"/>
                <w:szCs w:val="24"/>
              </w:rPr>
              <w:t>(ACB)</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 PGBank kiến nghị điều chỉnh nội dung này theo hướng: Vào tháng đầu tiên của quý, trong thời hạn 10 (mười) ngày làm việc kể từ TCTD nhận được danh sách thông tin khách hàng do CIC cung cấp thì sẽ thực hiện trích lập dự phòng</w:t>
            </w:r>
            <w:r w:rsidRPr="00AF7630">
              <w:rPr>
                <w:rFonts w:ascii="Times New Roman" w:eastAsia="Times New Roman" w:hAnsi="Times New Roman" w:cs="Times New Roman"/>
                <w:b/>
                <w:sz w:val="24"/>
                <w:szCs w:val="24"/>
              </w:rPr>
              <w:t>. (PGBank)</w:t>
            </w:r>
          </w:p>
          <w:p w:rsidR="000D7FC4" w:rsidRPr="00AF7630" w:rsidRDefault="000D7FC4" w:rsidP="0001557F">
            <w:pPr>
              <w:jc w:val="both"/>
              <w:rPr>
                <w:rFonts w:ascii="Times New Roman" w:eastAsia="Times New Roman" w:hAnsi="Times New Roman" w:cs="Times New Roman"/>
                <w:b/>
                <w:bCs/>
                <w:sz w:val="24"/>
                <w:szCs w:val="24"/>
              </w:rPr>
            </w:pPr>
            <w:r w:rsidRPr="00AF7630">
              <w:rPr>
                <w:rFonts w:ascii="Times New Roman" w:eastAsia="Times New Roman" w:hAnsi="Times New Roman" w:cs="Times New Roman"/>
                <w:sz w:val="24"/>
                <w:szCs w:val="24"/>
              </w:rPr>
              <w:lastRenderedPageBreak/>
              <w:t xml:space="preserve">- Đề xuất: </w:t>
            </w:r>
            <w:r w:rsidRPr="00AF7630">
              <w:rPr>
                <w:rFonts w:ascii="Times New Roman" w:eastAsia="Times New Roman" w:hAnsi="Times New Roman" w:cs="Times New Roman"/>
                <w:b/>
                <w:sz w:val="24"/>
                <w:szCs w:val="24"/>
              </w:rPr>
              <w:t>(i)</w:t>
            </w:r>
            <w:r w:rsidRPr="00AF7630">
              <w:rPr>
                <w:rFonts w:ascii="Times New Roman" w:eastAsia="Times New Roman" w:hAnsi="Times New Roman" w:cs="Times New Roman"/>
                <w:sz w:val="24"/>
                <w:szCs w:val="24"/>
              </w:rPr>
              <w:t xml:space="preserve"> thực hiện TLDP theo Phương án 1 để thống nhất và phản ánh đúng bản chất nhóm nợ thực hiện phân loại theo kết quả tự phân loại nợ khi hạch toán tại T+5 (T ngày cuối cùng của tháng trước liền kề) cũng như nhóm nợ gửi CIC; </w:t>
            </w:r>
            <w:r w:rsidRPr="00AF7630">
              <w:rPr>
                <w:rFonts w:ascii="Times New Roman" w:eastAsia="Times New Roman" w:hAnsi="Times New Roman" w:cs="Times New Roman"/>
                <w:b/>
                <w:sz w:val="24"/>
                <w:szCs w:val="24"/>
              </w:rPr>
              <w:t>(ii)</w:t>
            </w:r>
            <w:r w:rsidRPr="00AF7630">
              <w:rPr>
                <w:rFonts w:ascii="Times New Roman" w:eastAsia="Times New Roman" w:hAnsi="Times New Roman" w:cs="Times New Roman"/>
                <w:sz w:val="24"/>
                <w:szCs w:val="24"/>
              </w:rPr>
              <w:t xml:space="preserve"> Đề xuất Ban soạn thảo xem xét giữ nguyên thời hạn tương tự như tại Thông tư 11 do phụ thuộc vào dữ liệu danh sách khách hành do CIC gửi, sửa thành </w:t>
            </w:r>
            <w:r w:rsidRPr="00AF7630">
              <w:rPr>
                <w:rFonts w:ascii="Times New Roman" w:eastAsia="Times New Roman" w:hAnsi="Times New Roman" w:cs="Times New Roman"/>
                <w:i/>
                <w:sz w:val="24"/>
                <w:szCs w:val="24"/>
              </w:rPr>
              <w:t xml:space="preserve">“Trong thời hạn 03 ngày làm việc kể từ khi nhận được danh sách khách hàng do Trung tâm Thông tin tín dụng quốc gia Việt Nam cung cấp theo quy định, tổ chức tín dụng (trừ tổ chức tín dụng là hợp tác xã, tổ chức tài chính vi mô) , chi nhánh ngân hàng nước ngoài, căn cứ kết quả phân loại nợ đã được điều chỉnh theo nhóm nợ của danh sách khách hàng do Trung tâm Thông tin tín dụng quốc gia Việt Nam cung cấp trên, thực hiện trích lập dự phòng rủi ro cho thời điểm cuối ngày cuối cùng của tháng cuối cùng của Quý, vào tháng đầu tiên của Quý tiếp theo”; </w:t>
            </w:r>
            <w:r w:rsidRPr="00AF7630">
              <w:rPr>
                <w:rFonts w:ascii="Times New Roman" w:eastAsia="Times New Roman" w:hAnsi="Times New Roman" w:cs="Times New Roman"/>
                <w:b/>
                <w:sz w:val="24"/>
                <w:szCs w:val="24"/>
              </w:rPr>
              <w:t>(iii)</w:t>
            </w:r>
            <w:r w:rsidRPr="00AF7630">
              <w:rPr>
                <w:rFonts w:ascii="Times New Roman" w:eastAsia="Times New Roman" w:hAnsi="Times New Roman" w:cs="Times New Roman"/>
                <w:bCs/>
                <w:sz w:val="24"/>
                <w:szCs w:val="24"/>
              </w:rPr>
              <w:t xml:space="preserve"> Đề xuất Ban soan thảo bổ sung </w:t>
            </w:r>
            <w:r w:rsidRPr="00AF7630">
              <w:rPr>
                <w:rFonts w:ascii="Times New Roman" w:eastAsia="Times New Roman" w:hAnsi="Times New Roman" w:cs="Times New Roman"/>
                <w:bCs/>
                <w:i/>
                <w:sz w:val="24"/>
                <w:szCs w:val="24"/>
              </w:rPr>
              <w:t>“Ngoài thời điểm TLDP nêu trên, tổ chức tín dụng, chi nhánh ngân hàng nước ngoài được tự thực hiện TLDP theo quy định nội bộ”</w:t>
            </w:r>
            <w:r w:rsidRPr="00AF7630">
              <w:rPr>
                <w:rFonts w:ascii="Times New Roman" w:eastAsia="Times New Roman" w:hAnsi="Times New Roman" w:cs="Times New Roman"/>
                <w:bCs/>
                <w:sz w:val="24"/>
                <w:szCs w:val="24"/>
              </w:rPr>
              <w:t xml:space="preserve">. </w:t>
            </w:r>
            <w:r w:rsidRPr="00AF7630">
              <w:rPr>
                <w:rFonts w:ascii="Times New Roman" w:eastAsia="Times New Roman" w:hAnsi="Times New Roman" w:cs="Times New Roman"/>
                <w:b/>
                <w:bCs/>
                <w:sz w:val="24"/>
                <w:szCs w:val="24"/>
              </w:rPr>
              <w:t>(CTTC CP Điện lực)</w:t>
            </w:r>
          </w:p>
          <w:p w:rsidR="000D7FC4" w:rsidRPr="00AF7630" w:rsidRDefault="000D7FC4" w:rsidP="0001557F">
            <w:pPr>
              <w:jc w:val="both"/>
              <w:rPr>
                <w:rFonts w:ascii="Times New Roman" w:eastAsia="Times New Roman" w:hAnsi="Times New Roman" w:cs="Times New Roman"/>
                <w:b/>
                <w:bCs/>
                <w:sz w:val="24"/>
                <w:szCs w:val="24"/>
              </w:rPr>
            </w:pPr>
            <w:r w:rsidRPr="00AF7630">
              <w:rPr>
                <w:rFonts w:ascii="Times New Roman" w:eastAsia="Times New Roman" w:hAnsi="Times New Roman" w:cs="Times New Roman"/>
                <w:b/>
                <w:bCs/>
                <w:sz w:val="24"/>
                <w:szCs w:val="24"/>
              </w:rPr>
              <w:t xml:space="preserve">- </w:t>
            </w:r>
            <w:r w:rsidRPr="00AF7630">
              <w:rPr>
                <w:rFonts w:ascii="Times New Roman" w:eastAsia="Times New Roman" w:hAnsi="Times New Roman" w:cs="Times New Roman"/>
                <w:bCs/>
                <w:sz w:val="24"/>
                <w:szCs w:val="24"/>
              </w:rPr>
              <w:t>Đề nghị Tổ soạn thảo xem xét sửa đổi kéo dài hơn về thời điểm thực hiện trích lập dự phòng cho thời điểm cuối ngày cuối cùng của tháng trước liền kề tại Khoản 1 Điều 9 từ "trong 05 (năm) ngày làm việc đầu tiên của tháng" thành "7 (mười) ngày làm việc đầu tiên của tháng" đối với trích lập theo kết quả tự phân loại và từ 10 ngày làm việc thành 15 ngày làm việc đối với kết quả sau cập nhật thông tin CIC gửi về do với danh mục tín dụng lớn, bên cạnh rà soát về nhóm nợ, việc rà soát lại thông tin về TSBĐ đối với các trường hợp KH phải trích lập thêm do mới cập nhật kết quả CIC cũng cần thời gian</w:t>
            </w:r>
            <w:r w:rsidRPr="00AF7630">
              <w:rPr>
                <w:rFonts w:ascii="Times New Roman" w:eastAsia="Times New Roman" w:hAnsi="Times New Roman" w:cs="Times New Roman"/>
                <w:b/>
                <w:bCs/>
                <w:sz w:val="24"/>
                <w:szCs w:val="24"/>
              </w:rPr>
              <w:t>. (Vietinbank)</w:t>
            </w:r>
          </w:p>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t xml:space="preserve">- </w:t>
            </w:r>
            <w:r w:rsidRPr="00AF7630">
              <w:rPr>
                <w:rFonts w:ascii="Times New Roman" w:eastAsia="Times New Roman" w:hAnsi="Times New Roman" w:cs="Times New Roman"/>
                <w:bCs/>
                <w:sz w:val="24"/>
                <w:szCs w:val="24"/>
              </w:rPr>
              <w:t>Đề xuất Ban soạn thảo giải thích, hướng dẫn cụ thể viêc hạch toán sẽ thực hiện vào tháng đầu tiên của quý hay phải điều chỉnh quay về ngày cuối cùng của tháng trước.</w:t>
            </w:r>
          </w:p>
          <w:p w:rsidR="000D7FC4" w:rsidRPr="00AF7630" w:rsidRDefault="000D7FC4" w:rsidP="0001557F">
            <w:pPr>
              <w:jc w:val="both"/>
              <w:rPr>
                <w:rFonts w:ascii="Times New Roman" w:eastAsia="Times New Roman" w:hAnsi="Times New Roman" w:cs="Times New Roman"/>
                <w:b/>
                <w:bCs/>
                <w:sz w:val="24"/>
                <w:szCs w:val="24"/>
              </w:rPr>
            </w:pPr>
            <w:r w:rsidRPr="00AF7630">
              <w:rPr>
                <w:rFonts w:ascii="Times New Roman" w:eastAsia="Times New Roman" w:hAnsi="Times New Roman" w:cs="Times New Roman"/>
                <w:bCs/>
                <w:sz w:val="24"/>
                <w:szCs w:val="24"/>
              </w:rPr>
              <w:t xml:space="preserve">Ngoài ra, SeABank cũng đề xuất Ban soạn thảo giữ nguyên nội dung về thời gian là “Trong 07 (bảy) ngày làm việc đầu tiên…” và “Trong 13 (mười ba) ngày làm việc đầu tiên…” </w:t>
            </w:r>
            <w:r w:rsidRPr="00AF7630">
              <w:rPr>
                <w:rFonts w:ascii="Times New Roman" w:eastAsia="Times New Roman" w:hAnsi="Times New Roman" w:cs="Times New Roman"/>
                <w:bCs/>
                <w:sz w:val="24"/>
                <w:szCs w:val="24"/>
              </w:rPr>
              <w:lastRenderedPageBreak/>
              <w:t xml:space="preserve">như quy định tại Thông tư 11/2021/TT-NHNN cho phù hợp với tổng thời gian phân loại nợ và trích lập dự phòng quy định. </w:t>
            </w:r>
            <w:r w:rsidRPr="00AF7630">
              <w:rPr>
                <w:rFonts w:ascii="Times New Roman" w:eastAsia="Times New Roman" w:hAnsi="Times New Roman" w:cs="Times New Roman"/>
                <w:b/>
                <w:bCs/>
                <w:sz w:val="24"/>
                <w:szCs w:val="24"/>
              </w:rPr>
              <w:t>(Seabank)</w:t>
            </w:r>
          </w:p>
          <w:p w:rsidR="000D7FC4" w:rsidRPr="00AF7630" w:rsidRDefault="000D7FC4" w:rsidP="0001557F">
            <w:pPr>
              <w:jc w:val="both"/>
              <w:rPr>
                <w:rFonts w:ascii="Times New Roman" w:hAnsi="Times New Roman" w:cs="Times New Roman"/>
                <w:b/>
                <w:sz w:val="24"/>
                <w:szCs w:val="24"/>
              </w:rPr>
            </w:pPr>
            <w:r w:rsidRPr="00AF7630">
              <w:rPr>
                <w:rFonts w:ascii="Times New Roman" w:eastAsia="Times New Roman" w:hAnsi="Times New Roman" w:cs="Times New Roman"/>
                <w:b/>
                <w:bCs/>
                <w:sz w:val="24"/>
                <w:szCs w:val="24"/>
              </w:rPr>
              <w:t xml:space="preserve">- </w:t>
            </w:r>
            <w:r w:rsidRPr="00AF7630">
              <w:rPr>
                <w:rFonts w:ascii="Times New Roman" w:hAnsi="Times New Roman" w:cs="Times New Roman"/>
                <w:sz w:val="24"/>
                <w:szCs w:val="24"/>
              </w:rPr>
              <w:t>Theo Điều 9 dự thảo Nghị định (Phương án 1), Ngân hàng hiểu rằng đối với tháng cuối quý thì chỉ TLDP theo nhóm nợ CIC mà không cần TLDP theo nhóm nợ nội bộ. Tuy nhiên, hiện nay Ngân hàng đang TLDP theo nhóm nợ nội bộ tại thời điểm cuối tháng và số liệu TLDP được phản ánh vào Bảng cân đối kế toán tháng đó. Do đó, sau này hệ thống của Ngân hàng đang TPDP cả nhóm nợ nội bộ tại thời điểm cuối quý tương tự như quy định tại Thông tư 11 có được không</w:t>
            </w:r>
            <w:r w:rsidRPr="00AF7630">
              <w:rPr>
                <w:rFonts w:ascii="Times New Roman" w:hAnsi="Times New Roman" w:cs="Times New Roman"/>
                <w:b/>
                <w:sz w:val="24"/>
                <w:szCs w:val="24"/>
              </w:rPr>
              <w:t>? (WooriBank).</w:t>
            </w:r>
          </w:p>
          <w:p w:rsidR="000D7FC4" w:rsidRPr="00AF7630" w:rsidRDefault="000D7FC4" w:rsidP="0001557F">
            <w:pPr>
              <w:jc w:val="both"/>
              <w:rPr>
                <w:rFonts w:ascii="Times New Roman" w:hAnsi="Times New Roman" w:cs="Times New Roman"/>
                <w:b/>
                <w:sz w:val="24"/>
                <w:szCs w:val="24"/>
              </w:rPr>
            </w:pPr>
            <w:r w:rsidRPr="00AF7630">
              <w:rPr>
                <w:rFonts w:ascii="Times New Roman" w:hAnsi="Times New Roman" w:cs="Times New Roman"/>
                <w:sz w:val="24"/>
                <w:szCs w:val="24"/>
              </w:rPr>
              <w:t>- Đề nghị điều chỉnh tăng thời hạn thực hiện tại khoản 2 Điều 9 (PA 1) từ “10 ngày” lên thành “</w:t>
            </w:r>
            <w:r w:rsidRPr="00AF7630">
              <w:rPr>
                <w:rFonts w:ascii="Times New Roman" w:hAnsi="Times New Roman" w:cs="Times New Roman"/>
                <w:bCs/>
                <w:sz w:val="24"/>
                <w:szCs w:val="24"/>
              </w:rPr>
              <w:t xml:space="preserve">12 </w:t>
            </w:r>
            <w:r w:rsidRPr="00AF7630">
              <w:rPr>
                <w:rFonts w:ascii="Times New Roman" w:hAnsi="Times New Roman" w:cs="Times New Roman"/>
                <w:sz w:val="24"/>
                <w:szCs w:val="24"/>
              </w:rPr>
              <w:t xml:space="preserve">ngày”. </w:t>
            </w:r>
            <w:r w:rsidRPr="00AF7630">
              <w:rPr>
                <w:rFonts w:ascii="Times New Roman" w:hAnsi="Times New Roman" w:cs="Times New Roman"/>
                <w:b/>
                <w:sz w:val="24"/>
                <w:szCs w:val="24"/>
              </w:rPr>
              <w:t>(Citibank, Nhóm công tác ngân hàng</w:t>
            </w:r>
            <w:r w:rsidRPr="00AF7630">
              <w:rPr>
                <w:rFonts w:ascii="Times New Roman" w:hAnsi="Times New Roman" w:cs="Times New Roman"/>
                <w:sz w:val="24"/>
                <w:szCs w:val="24"/>
              </w:rPr>
              <w:t xml:space="preserve">), “11 ngày” </w:t>
            </w:r>
            <w:r w:rsidRPr="00AF7630">
              <w:rPr>
                <w:rFonts w:ascii="Times New Roman" w:hAnsi="Times New Roman" w:cs="Times New Roman"/>
                <w:b/>
                <w:sz w:val="24"/>
                <w:szCs w:val="24"/>
              </w:rPr>
              <w:t>(HSBC),</w:t>
            </w:r>
            <w:r w:rsidRPr="00AF7630">
              <w:rPr>
                <w:rFonts w:ascii="Times New Roman" w:hAnsi="Times New Roman" w:cs="Times New Roman"/>
                <w:sz w:val="24"/>
                <w:szCs w:val="24"/>
              </w:rPr>
              <w:t xml:space="preserve"> “15 ngày” </w:t>
            </w:r>
            <w:r w:rsidRPr="00AF7630">
              <w:rPr>
                <w:rFonts w:ascii="Times New Roman" w:hAnsi="Times New Roman" w:cs="Times New Roman"/>
                <w:b/>
                <w:sz w:val="24"/>
                <w:szCs w:val="24"/>
              </w:rPr>
              <w:t>(GPBank, VCB)</w:t>
            </w:r>
          </w:p>
          <w:p w:rsidR="000D7FC4" w:rsidRPr="00AF7630" w:rsidRDefault="000D7FC4" w:rsidP="0001557F">
            <w:pPr>
              <w:jc w:val="both"/>
              <w:rPr>
                <w:rFonts w:ascii="Times New Roman" w:hAnsi="Times New Roman" w:cs="Times New Roman"/>
                <w:b/>
                <w:sz w:val="24"/>
                <w:szCs w:val="24"/>
              </w:rPr>
            </w:pPr>
            <w:r w:rsidRPr="00AF7630">
              <w:rPr>
                <w:rFonts w:ascii="Times New Roman" w:hAnsi="Times New Roman" w:cs="Times New Roman"/>
                <w:b/>
                <w:sz w:val="24"/>
                <w:szCs w:val="24"/>
              </w:rPr>
              <w:t>- Đề nghị chỉnh sửa khoản 2 Điều 9 (Phương án 1) như sau:</w:t>
            </w:r>
          </w:p>
          <w:p w:rsidR="000D7FC4" w:rsidRPr="00AF7630" w:rsidRDefault="000D7FC4" w:rsidP="0001557F">
            <w:pPr>
              <w:jc w:val="both"/>
              <w:rPr>
                <w:rFonts w:ascii="Times New Roman" w:hAnsi="Times New Roman" w:cs="Times New Roman"/>
                <w:b/>
                <w:sz w:val="24"/>
                <w:szCs w:val="24"/>
              </w:rPr>
            </w:pPr>
            <w:r w:rsidRPr="00AF7630">
              <w:rPr>
                <w:rFonts w:ascii="Times New Roman" w:hAnsi="Times New Roman" w:cs="Times New Roman"/>
                <w:sz w:val="24"/>
                <w:szCs w:val="24"/>
              </w:rPr>
              <w:t xml:space="preserve">“2. Đối với tháng đầu tiền của quý, trong thời hạn 03 (ba) ngày làm việc kể từ ngày nhận được danh sách khách hàng do CIC cung cấp, …” </w:t>
            </w:r>
            <w:r w:rsidRPr="00AF7630">
              <w:rPr>
                <w:rFonts w:ascii="Times New Roman" w:hAnsi="Times New Roman" w:cs="Times New Roman"/>
                <w:b/>
                <w:sz w:val="24"/>
                <w:szCs w:val="24"/>
              </w:rPr>
              <w:t>(Mizuho HN)</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hAnsi="Times New Roman" w:cs="Times New Roman"/>
                <w:b/>
                <w:sz w:val="24"/>
                <w:szCs w:val="24"/>
              </w:rPr>
              <w:t xml:space="preserve">- </w:t>
            </w:r>
            <w:r w:rsidRPr="00AF7630">
              <w:rPr>
                <w:rFonts w:ascii="Times New Roman" w:eastAsia="Times New Roman" w:hAnsi="Times New Roman" w:cs="Times New Roman"/>
                <w:sz w:val="24"/>
                <w:szCs w:val="24"/>
              </w:rPr>
              <w:t xml:space="preserve">BAC A BANK lựa chọn phương án 1 vì phương án này phản ánh cụ thể hơn chất lượng tín dụng và mức trích lập DPRR do đó sát với thực tế hơn </w:t>
            </w:r>
            <w:r w:rsidRPr="00AF7630">
              <w:rPr>
                <w:rFonts w:ascii="Times New Roman" w:eastAsia="Times New Roman" w:hAnsi="Times New Roman" w:cs="Times New Roman"/>
                <w:b/>
                <w:sz w:val="24"/>
                <w:szCs w:val="24"/>
              </w:rPr>
              <w:t>(BAC A BANK)</w:t>
            </w:r>
          </w:p>
        </w:tc>
        <w:tc>
          <w:tcPr>
            <w:tcW w:w="2268" w:type="dxa"/>
            <w:tcBorders>
              <w:bottom w:val="single" w:sz="4" w:space="0" w:color="auto"/>
            </w:tcBorders>
          </w:tcPr>
          <w:p w:rsidR="000D7FC4" w:rsidRPr="00AF7630" w:rsidRDefault="000D7FC4">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 xml:space="preserve">Ngân hàng ANZ, Ngân hàng Sumitomo Mitsui Banking Corporation – CN Hà Nội/ CN TP.Hồ Chí Minh, KEXIM VLC, PGBank, CTTC CP Điện lực, Ngân hàng Industrial and Commercial Bank of China Limited – CN. Hà Nội, Vietinbank, ACB, Seabank, CTCTTC </w:t>
            </w:r>
            <w:r w:rsidRPr="00AF7630">
              <w:rPr>
                <w:rFonts w:ascii="Times New Roman" w:hAnsi="Times New Roman" w:cs="Times New Roman"/>
                <w:sz w:val="24"/>
                <w:szCs w:val="24"/>
              </w:rPr>
              <w:t>TNHH MTV Quốc Tế Chailease, WooriBank, Citibank, Nhóm công tác ngân hàng, GPBank, MSB, HSBC, HDBank, Mizuho HN, Bắc A Bank.</w:t>
            </w:r>
          </w:p>
        </w:tc>
        <w:tc>
          <w:tcPr>
            <w:tcW w:w="4677" w:type="dxa"/>
            <w:vMerge w:val="restart"/>
            <w:tcBorders>
              <w:bottom w:val="single" w:sz="4" w:space="0" w:color="auto"/>
            </w:tcBorders>
          </w:tcPr>
          <w:p w:rsidR="000D7FC4" w:rsidRPr="00AF7630" w:rsidRDefault="000D7FC4" w:rsidP="00F7187B">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Trên cơ sở ý kiến của các TCTD, Điều 9 dự thảo Nghị định quy định theo Phương án 2 và có chỉnh sửa nhằm bảo đảm kế thừa quy định hiện hành tại Thông tư 11 và hướng dẫn của NHNN trong quá trình thực hiện Thông tư 11, theo đó:</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Đối với NHTM, TCTD phi ngân hàng và chi nhánh NHNg:</w:t>
            </w:r>
          </w:p>
          <w:p w:rsidR="000D7FC4" w:rsidRPr="00AF7630" w:rsidRDefault="000D7FC4" w:rsidP="00F7187B">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Tại điểm a khoản 1: Quy định ngân hàng thương mại, TCTD phi ngân hàng, chi nhánh NHNg căn cứ nhóm nợ cao hơn giữa kết quả tự phân loại nợ theo quy định của NHNN với nhóm nợ đã được điều chỉnh theo nhóm nợ của danh sách khách hàng do CIC cung cấp để TLDP rủi ro cho thời điểm cuối ngày cuối cùng của tháng trước liền kề trong 05 ngày ngày làm việc đầu tiên của tất cả các tháng (</w:t>
            </w:r>
            <w:r w:rsidRPr="00AF7630">
              <w:rPr>
                <w:rFonts w:ascii="Times New Roman" w:eastAsia="Times New Roman" w:hAnsi="Times New Roman" w:cs="Times New Roman"/>
                <w:sz w:val="24"/>
                <w:szCs w:val="24"/>
                <w:u w:val="single"/>
              </w:rPr>
              <w:t>không loại trừ các tháng đầu tiên của quý</w:t>
            </w:r>
            <w:r w:rsidRPr="00AF7630">
              <w:rPr>
                <w:rFonts w:ascii="Times New Roman" w:eastAsia="Times New Roman" w:hAnsi="Times New Roman" w:cs="Times New Roman"/>
                <w:sz w:val="24"/>
                <w:szCs w:val="24"/>
              </w:rPr>
              <w:t>), làm cơ sở để phản ánh số liệu này vào Bảng cân đối kế toán hàng tháng theo quy định tại Điều 9 Quyết định số 16/2007/QĐ-NHNN.</w:t>
            </w:r>
          </w:p>
          <w:p w:rsidR="000D7FC4" w:rsidRPr="00AF7630" w:rsidRDefault="000D7FC4" w:rsidP="00F7187B">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Tại điểm b khoản 1: Quy định ngân hàng thương mại, TCTD phi ngân hàng, chi nhánh NHNg căn cứ kết quả phân loại nợ đã được điều chỉnh theo nhóm nợ của danh sách khách hàng do CIC cung cấp theo quy định của NHNN để </w:t>
            </w:r>
            <w:r w:rsidRPr="00AF7630">
              <w:rPr>
                <w:rFonts w:ascii="Times New Roman" w:eastAsia="Times New Roman" w:hAnsi="Times New Roman" w:cs="Times New Roman"/>
                <w:sz w:val="24"/>
                <w:szCs w:val="24"/>
                <w:u w:val="single"/>
              </w:rPr>
              <w:t>điều chỉnh số tiền trích lập dự phòng rủi ro cho thời điểm cuối ngày cuối cùng của tháng trước liền kề và thể hiện số tiền trích lập dự phòng rủi ro này trên báo cáo tài chính cho thời điểm cuối ngày cuối cùng của tháng trước liền kề</w:t>
            </w:r>
            <w:r w:rsidRPr="00AF7630">
              <w:rPr>
                <w:rFonts w:ascii="Times New Roman" w:eastAsia="Times New Roman" w:hAnsi="Times New Roman" w:cs="Times New Roman"/>
                <w:sz w:val="24"/>
                <w:szCs w:val="24"/>
              </w:rPr>
              <w: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Đối với TCTCVM, TCTD là hợp tác xã:</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giữ nguyên quy định tại khoản 3 Điều 9.</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Đồng thời rà soát, chỉnh sửa quy định liên quan đến thời điểm phân loại nợ của </w:t>
            </w:r>
            <w:r w:rsidRPr="00AF7630">
              <w:rPr>
                <w:rFonts w:ascii="Times New Roman" w:eastAsia="Times New Roman" w:hAnsi="Times New Roman" w:cs="Times New Roman"/>
                <w:sz w:val="24"/>
                <w:szCs w:val="24"/>
              </w:rPr>
              <w:lastRenderedPageBreak/>
              <w:t>TCTCVM, TCTD là hợp tác xã tại các Thông tư quy định về phân loại tài sản có của TCTCVM, TCTD là hợp tác xã, đảm bảo phù hợp, nhất quán với quy định về thời điểm trích lập dự phòng rủi ro quy định tại Dự thảo Nghị định này. Theo đó, tại dự thảo Thông tư quy định về phân loại nợ, thời điểm phân loại nợ được điều chỉnh thành hàng tháng.</w:t>
            </w:r>
          </w:p>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Lựa chọn Phương án 2 (12 TCTD lựa chọn và Bộ Công an):</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w:t>
            </w:r>
            <w:r w:rsidR="00B978F7">
              <w:rPr>
                <w:rFonts w:ascii="Times New Roman" w:eastAsia="Times New Roman" w:hAnsi="Times New Roman" w:cs="Times New Roman"/>
                <w:sz w:val="24"/>
                <w:szCs w:val="24"/>
              </w:rPr>
              <w:t>L</w:t>
            </w:r>
            <w:r w:rsidRPr="00AF7630">
              <w:rPr>
                <w:rFonts w:ascii="Times New Roman" w:eastAsia="Times New Roman" w:hAnsi="Times New Roman" w:cs="Times New Roman"/>
                <w:sz w:val="24"/>
                <w:szCs w:val="24"/>
              </w:rPr>
              <w:t>ựa chọn Phương án 2, đồng thời sửa thêm một số nội dung tại khoản 3 của phương án như sau:</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“Ít nhất mỗi quý một lần, trong 15 (mười lăm) ngày làm việc đầu tiên của tháng tiếp theo, tổ chức tín dụng là hợp tác xã, tổ chức tài chính vi mô căn cứ kết quả tự phân loại nợ theo quy định của Ngân hàng Nhà nước về phân loại tài sản có trong hoạt động của tổ chức tín dụng, chi nhánh ngân hàng nước ngoài để thực hiện trích lập dự phòng rủi ro cho thời điểm cuối ngày cuối cùng của quý trước.”</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Lý do</w:t>
            </w:r>
            <w:r w:rsidRPr="00AF7630">
              <w:rPr>
                <w:rFonts w:ascii="Times New Roman" w:eastAsia="Times New Roman" w:hAnsi="Times New Roman" w:cs="Times New Roman"/>
                <w:sz w:val="24"/>
                <w:szCs w:val="24"/>
              </w:rPr>
              <w:t>: Tại Dự thảo Thông tư về phân loại tài sản có của tổ chức tín dụng là hợp tác xã (đã lấy ý kiến các đơn vị có liên quan tại Công văn số 1161/TTGSNH3 ngày 15/3/2024 của CQTTGSNH). Theo đó, tại Điều 4 Dự thảo Thông tư đã quy định:</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“1. Ít nhất mỗi quý một lần, trong thời hạn 15 ngày làm việc đầu tiên của tháng tiếp theo, tổ chức tín dụng là hợp tác xã thực hiện phân loại nợ đến thời điểm cuối ngày làm việc cuối cùng của quý (tháng) trước.</w:t>
            </w:r>
          </w:p>
          <w:p w:rsidR="000D7FC4" w:rsidRPr="00AF7630" w:rsidRDefault="000D7FC4"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Riêng đối với quý IV, trong thời hạn 15 ngày làm việc đầu tiên của tháng 12, tổ chức tín dụng là hợp tác xã thực hiện việc phân loại nợ đến thời điểm cuối ngày 30 tháng 11.”</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để đảm bảo phù hợp, nhất quán về thời điểm phân loại nợ và trích lập DPRR đối với TCTD là hợp tác xã, chi nhánh đề nghị đối với TCTD là hợp tác xã thực hiện trích lập dự phòng rủi ro định kỳ hàng quý thay vì hàng tháng như tại Dự thảo Nghị định (</w:t>
            </w:r>
            <w:r w:rsidRPr="00AF7630">
              <w:rPr>
                <w:rFonts w:ascii="Times New Roman" w:eastAsia="Times New Roman" w:hAnsi="Times New Roman" w:cs="Times New Roman"/>
                <w:b/>
                <w:sz w:val="24"/>
                <w:szCs w:val="24"/>
              </w:rPr>
              <w:t>NHHTX</w:t>
            </w:r>
            <w:r w:rsidRPr="00AF7630">
              <w:rPr>
                <w:rFonts w:ascii="Times New Roman" w:eastAsia="Times New Roman" w:hAnsi="Times New Roman" w:cs="Times New Roman"/>
                <w:sz w:val="24"/>
                <w:szCs w:val="24"/>
              </w:rPr>
              <w: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Đề nghị kéo dài thời gian từ 10 ngày thành 15 ngày. </w:t>
            </w:r>
            <w:r w:rsidRPr="00AF7630">
              <w:rPr>
                <w:rFonts w:ascii="Times New Roman" w:eastAsia="Times New Roman" w:hAnsi="Times New Roman" w:cs="Times New Roman"/>
                <w:b/>
                <w:sz w:val="24"/>
                <w:szCs w:val="24"/>
              </w:rPr>
              <w:t>(Agribank)</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Đề xuất NHNN xem xét cho phép trích lập dự phòng căn cứ trên Nhóm nợ đã được điều chỉnh theo nhóm nợ của danh sách khách hàng do CIC cung cấp tại thời điểm gần nhất (bao gồm cập nhật nhóm nợ theo R19 – Danh sách khách hàng tất toán nợ hoặc được TCTD có nhóm nợ cao nhất ở kỳ trước chuyển sang nhóm nợ thấp hơn).</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 xml:space="preserve">Về thời điểm trích lập dự phòng: Nhằm thuận tiện cho các </w:t>
            </w:r>
            <w:r w:rsidRPr="00AF7630">
              <w:rPr>
                <w:rFonts w:ascii="Times New Roman" w:eastAsia="Times New Roman" w:hAnsi="Times New Roman" w:cs="Times New Roman"/>
                <w:sz w:val="24"/>
                <w:szCs w:val="24"/>
              </w:rPr>
              <w:lastRenderedPageBreak/>
              <w:t xml:space="preserve">tổ chức tín dụng thực hiện trích lập dự phòng theo đúng quy định, Sacombank đề xuất NHNN xem xét thời điểm trích lập dự phòng giữ nguyên như quy định Thông tư 11 hiện nay (trong thời hạn 03 (ba) ngày kể từ khi nhận được danh sách khách hàng do CIC cung cấp). </w:t>
            </w:r>
            <w:r w:rsidRPr="00AF7630">
              <w:rPr>
                <w:rFonts w:ascii="Times New Roman" w:eastAsia="Times New Roman" w:hAnsi="Times New Roman" w:cs="Times New Roman"/>
                <w:b/>
                <w:sz w:val="24"/>
                <w:szCs w:val="24"/>
              </w:rPr>
              <w:t xml:space="preserve">(Sacombank, </w:t>
            </w:r>
            <w:r w:rsidRPr="00AF7630">
              <w:rPr>
                <w:rFonts w:ascii="Times New Roman" w:hAnsi="Times New Roman" w:cs="Times New Roman"/>
                <w:b/>
                <w:sz w:val="24"/>
                <w:szCs w:val="24"/>
              </w:rPr>
              <w:t>Eximbank</w:t>
            </w:r>
            <w:r w:rsidRPr="00AF7630">
              <w:rPr>
                <w:rFonts w:ascii="Times New Roman" w:eastAsia="Times New Roman" w:hAnsi="Times New Roman" w:cs="Times New Roman"/>
                <w:b/>
                <w:sz w:val="24"/>
                <w:szCs w:val="24"/>
              </w:rPr>
              <w:t>)</w:t>
            </w:r>
          </w:p>
          <w:p w:rsidR="000D7FC4" w:rsidRPr="00AF7630" w:rsidRDefault="000D7FC4" w:rsidP="0001557F">
            <w:pPr>
              <w:jc w:val="both"/>
              <w:rPr>
                <w:rFonts w:ascii="Times New Roman" w:eastAsia="Arial Unicode MS" w:hAnsi="Times New Roman" w:cs="Times New Roman"/>
                <w:b/>
                <w:sz w:val="24"/>
                <w:szCs w:val="24"/>
              </w:rPr>
            </w:pPr>
            <w:r w:rsidRPr="00AF7630">
              <w:rPr>
                <w:rFonts w:ascii="Times New Roman" w:eastAsia="Times New Roman" w:hAnsi="Times New Roman" w:cs="Times New Roman"/>
                <w:b/>
                <w:sz w:val="24"/>
                <w:szCs w:val="24"/>
              </w:rPr>
              <w:t xml:space="preserve">- </w:t>
            </w:r>
            <w:r w:rsidRPr="00AF7630">
              <w:rPr>
                <w:rFonts w:ascii="Times New Roman" w:eastAsia="Arial Unicode MS" w:hAnsi="Times New Roman" w:cs="Times New Roman"/>
                <w:sz w:val="24"/>
                <w:szCs w:val="24"/>
              </w:rPr>
              <w:t xml:space="preserve">Xem xét điều chỉnh nội dung tại khoản 2 Điều này (Phương án 2) như sau: </w:t>
            </w:r>
            <w:r w:rsidRPr="00AF7630">
              <w:rPr>
                <w:rFonts w:ascii="Times New Roman" w:eastAsia="Arial Unicode MS" w:hAnsi="Times New Roman" w:cs="Times New Roman"/>
                <w:i/>
                <w:sz w:val="24"/>
                <w:szCs w:val="24"/>
              </w:rPr>
              <w:t>“Trong vòng 03 ngày làm việc kể từ ngày nhận được danh sách khách hàng do CIC cung cấp theo quy định của Ngân hàng Nhà nước về phân loại tài sản có trong hoạt động của tổ chức tín dụng, chi nhánh ngân hàng nước ngoài, tổ chức tín dụng (trừ tổ chức tín dụng là hợp tác xã, tổ chức tài chính vi mô), chi nhánh ngân hàng nước ngoài căn cứ kết quả phân loại nợ đã được điều chỉnh theo nhóm nợ do CIC cung cấp để thực hiện trích lập dự phòng vào các kỳ 30 tháng 6 và kỳ 31 tháng 12 hàng năm.”</w:t>
            </w:r>
            <w:r w:rsidRPr="00AF7630">
              <w:rPr>
                <w:rFonts w:ascii="Times New Roman" w:eastAsia="Arial Unicode MS" w:hAnsi="Times New Roman" w:cs="Times New Roman"/>
                <w:b/>
                <w:i/>
                <w:sz w:val="24"/>
                <w:szCs w:val="24"/>
              </w:rPr>
              <w:t xml:space="preserve"> </w:t>
            </w:r>
            <w:r w:rsidRPr="00AF7630">
              <w:rPr>
                <w:rFonts w:ascii="Times New Roman" w:eastAsia="Arial Unicode MS" w:hAnsi="Times New Roman" w:cs="Times New Roman"/>
                <w:b/>
                <w:sz w:val="24"/>
                <w:szCs w:val="24"/>
              </w:rPr>
              <w:t>(Vietbank)</w:t>
            </w:r>
          </w:p>
          <w:p w:rsidR="000D7FC4" w:rsidRPr="00AF7630" w:rsidRDefault="000D7FC4" w:rsidP="0001557F">
            <w:pPr>
              <w:jc w:val="both"/>
              <w:rPr>
                <w:rFonts w:ascii="Times New Roman" w:eastAsia="Arial Unicode MS" w:hAnsi="Times New Roman" w:cs="Times New Roman"/>
                <w:sz w:val="24"/>
                <w:szCs w:val="24"/>
              </w:rPr>
            </w:pPr>
            <w:r w:rsidRPr="00AF7630">
              <w:rPr>
                <w:rFonts w:ascii="Times New Roman" w:eastAsia="Arial Unicode MS" w:hAnsi="Times New Roman" w:cs="Times New Roman"/>
                <w:b/>
                <w:sz w:val="24"/>
                <w:szCs w:val="24"/>
              </w:rPr>
              <w:t xml:space="preserve">- </w:t>
            </w:r>
            <w:r w:rsidRPr="00AF7630">
              <w:rPr>
                <w:rFonts w:ascii="Times New Roman" w:eastAsia="Arial Unicode MS" w:hAnsi="Times New Roman" w:cs="Times New Roman"/>
                <w:sz w:val="24"/>
                <w:szCs w:val="24"/>
              </w:rPr>
              <w:t>Đề xuất</w:t>
            </w:r>
            <w:r w:rsidRPr="00AF7630">
              <w:rPr>
                <w:rFonts w:ascii="Times New Roman" w:eastAsia="Arial Unicode MS" w:hAnsi="Times New Roman" w:cs="Times New Roman"/>
                <w:b/>
                <w:sz w:val="24"/>
                <w:szCs w:val="24"/>
              </w:rPr>
              <w:t xml:space="preserve"> </w:t>
            </w:r>
            <w:r w:rsidRPr="00AF7630">
              <w:rPr>
                <w:rFonts w:ascii="Times New Roman" w:eastAsia="Arial Unicode MS" w:hAnsi="Times New Roman" w:cs="Times New Roman"/>
                <w:sz w:val="24"/>
                <w:szCs w:val="24"/>
              </w:rPr>
              <w:t>NHNN có hướng dẫn chi tiết việc hạch toán và điều chỉnh trích lập dự phòng rủi ro cho thời điểm cuối ngày cuối cùng của tháng trước liền kề vào cân đối tài khoản và Báo cáo tài chính.</w:t>
            </w:r>
            <w:r w:rsidRPr="00AF7630">
              <w:rPr>
                <w:rFonts w:ascii="Times New Roman" w:eastAsia="Arial Unicode MS" w:hAnsi="Times New Roman" w:cs="Times New Roman"/>
                <w:b/>
                <w:sz w:val="24"/>
                <w:szCs w:val="24"/>
              </w:rPr>
              <w:t>(Ngân hàng TMCP Bản Việt)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w:t>
            </w:r>
            <w:r w:rsidRPr="00AF7630">
              <w:rPr>
                <w:rFonts w:ascii="Times New Roman" w:eastAsia="Times New Roman" w:hAnsi="Times New Roman" w:cs="Times New Roman"/>
                <w:sz w:val="24"/>
                <w:szCs w:val="24"/>
              </w:rPr>
              <w:t xml:space="preserve"> VPB SMBC FC nhận thấy việc quy định về thời điểm trích lập dự phòng trong Quyết định số 573/QĐ-NHNN ngày 29/03/2024 của Thống đốc NHNN về việc ban hành Hệ thống chỉ tiêu thông tin tín dụng (“Quyết định 573/QĐ-NHNN) cần được sửa đổi để phù hợp và tương thích với Dự thảo Nghị định.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về thời điểm trích lập dự phòng theo “ngày làm việc”, trong khi Quyết định 573/QĐ-NHNN lại quy định theo “ngày”. Điều này sẽ dẫn đến các báo cáo không đồng nhất về kết quả trích lập dự phòng rủi ro cho thời điểm cuối ngày cuối cùng của tháng trước liền kề.</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Cụ thể, tại Phụ lục II Hướng dẫn báo cáo thông tin tín dụng kèm theo Quyết định 573/QĐ-NHNN, tổ chức tín dụng phải báo cáo các tệp thông tin quan hệ tín dụng cuối tháng </w:t>
            </w:r>
            <w:r w:rsidRPr="00AF7630">
              <w:rPr>
                <w:rFonts w:ascii="Times New Roman" w:eastAsia="Times New Roman" w:hAnsi="Times New Roman" w:cs="Times New Roman"/>
                <w:b/>
                <w:sz w:val="24"/>
                <w:szCs w:val="24"/>
              </w:rPr>
              <w:t>(D32)</w:t>
            </w:r>
            <w:r w:rsidRPr="00AF7630">
              <w:rPr>
                <w:rFonts w:ascii="Times New Roman" w:eastAsia="Times New Roman" w:hAnsi="Times New Roman" w:cs="Times New Roman"/>
                <w:sz w:val="24"/>
                <w:szCs w:val="24"/>
              </w:rPr>
              <w:t xml:space="preserve">, và tệp thông tin thẻ tín dụng cuối tháng </w:t>
            </w:r>
            <w:r w:rsidRPr="00AF7630">
              <w:rPr>
                <w:rFonts w:ascii="Times New Roman" w:eastAsia="Times New Roman" w:hAnsi="Times New Roman" w:cs="Times New Roman"/>
                <w:b/>
                <w:sz w:val="24"/>
                <w:szCs w:val="24"/>
              </w:rPr>
              <w:t>(D34)</w:t>
            </w:r>
            <w:r w:rsidRPr="00AF7630">
              <w:rPr>
                <w:rFonts w:ascii="Times New Roman" w:eastAsia="Times New Roman" w:hAnsi="Times New Roman" w:cs="Times New Roman"/>
                <w:sz w:val="24"/>
                <w:szCs w:val="24"/>
              </w:rPr>
              <w:t xml:space="preserve"> (báo </w:t>
            </w:r>
            <w:r w:rsidRPr="00AF7630">
              <w:rPr>
                <w:rFonts w:ascii="Times New Roman" w:eastAsia="Times New Roman" w:hAnsi="Times New Roman" w:cs="Times New Roman"/>
                <w:sz w:val="24"/>
                <w:szCs w:val="24"/>
              </w:rPr>
              <w:lastRenderedPageBreak/>
              <w:t xml:space="preserve">cáo các thông tin tín dụng bao gồm cả thông tin về Dự phòng chung phải trích, Dự phòng chung đã trích, Dự phòng cụ thể phải trích nội bảng, Dự phòng cụ thể đã trích nội bảng) với thời hạn là trong vòng </w:t>
            </w:r>
            <w:r w:rsidRPr="00AF7630">
              <w:rPr>
                <w:rFonts w:ascii="Times New Roman" w:eastAsia="Times New Roman" w:hAnsi="Times New Roman" w:cs="Times New Roman"/>
                <w:b/>
                <w:sz w:val="24"/>
                <w:szCs w:val="24"/>
              </w:rPr>
              <w:t>07 ngày đầu tiên của tháng tiếp theo.</w:t>
            </w:r>
            <w:r w:rsidRPr="00AF7630">
              <w:rPr>
                <w:rFonts w:ascii="Times New Roman" w:eastAsia="Times New Roman" w:hAnsi="Times New Roman" w:cs="Times New Roman"/>
                <w:sz w:val="24"/>
                <w:szCs w:val="24"/>
              </w:rPr>
              <w:t xml:space="preserve"> Trong khi đó, kết quả trích lập dự phòng tại với Điều 9 của Dự thảo Nghị định phải được thực hiện trong </w:t>
            </w:r>
            <w:r w:rsidRPr="00AF7630">
              <w:rPr>
                <w:rFonts w:ascii="Times New Roman" w:eastAsia="Times New Roman" w:hAnsi="Times New Roman" w:cs="Times New Roman"/>
                <w:b/>
                <w:sz w:val="24"/>
                <w:szCs w:val="24"/>
              </w:rPr>
              <w:t>05 ngày làm việc đầu tiên của tháng.</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Với quy định tại Quyết định 573/QĐ-NHNN hiện tại, có thể dẫn đến khả năng sau: tại một số tháng đặc biệt (có ngày lễ rơi vào các ngày đầu tháng), kết quả trích lập dự phòng rủi ro cho thời điểm cuối ngày cuối cùng của tháng trước liền kề sẽ chưa sẵn sàng để báo cáo CIC. Đồng thời, số liệu báo cáo giữa quy định tại Điều 9 của Dự thảo Nghị định so với quy định/hướng dẫn về thời hạn gửi báo cáo đến CIC theo Quyết định số 573/QĐ-NHNN sẽ không được đồng nhất.</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 xml:space="preserve">Do đó, VPB SMBC FC kính đề xuất NHNN xem xét điều chỉnh Quyết định số 573/QĐ-NHNN về việc ban hành Hệ thống chỉ tiêu thông tin tín dụng ngày 29/03/2024 của Thống đốc NHNN để quy định thống nhất, từ đó đảm bảo các dự liệu báo cáo được đồng nhất. </w:t>
            </w:r>
            <w:r w:rsidRPr="00AF7630">
              <w:rPr>
                <w:rFonts w:ascii="Times New Roman" w:eastAsia="Times New Roman" w:hAnsi="Times New Roman" w:cs="Times New Roman"/>
                <w:b/>
                <w:sz w:val="24"/>
                <w:szCs w:val="24"/>
              </w:rPr>
              <w:t>(SMBC)</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w:t>
            </w:r>
            <w:r w:rsidRPr="00AF7630">
              <w:rPr>
                <w:rFonts w:ascii="Times New Roman" w:eastAsia="Times New Roman" w:hAnsi="Times New Roman" w:cs="Times New Roman"/>
                <w:sz w:val="24"/>
                <w:szCs w:val="24"/>
              </w:rPr>
              <w:t xml:space="preserve"> Đề nghị sửa đổi nội dung khoản 1 như sau: </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sz w:val="24"/>
                <w:szCs w:val="24"/>
              </w:rPr>
              <w:t> "1. Trong 05 (năm) ngày làm việc đầu tiên của tháng</w:t>
            </w:r>
            <w:r w:rsidRPr="00AF7630">
              <w:rPr>
                <w:rFonts w:ascii="Times New Roman" w:eastAsia="Times New Roman" w:hAnsi="Times New Roman" w:cs="Times New Roman"/>
                <w:bCs/>
                <w:sz w:val="24"/>
                <w:szCs w:val="24"/>
              </w:rPr>
              <w:t xml:space="preserve"> </w:t>
            </w:r>
            <w:r w:rsidRPr="00AF7630">
              <w:rPr>
                <w:rFonts w:ascii="Times New Roman" w:eastAsia="Times New Roman" w:hAnsi="Times New Roman" w:cs="Times New Roman"/>
                <w:b/>
                <w:bCs/>
                <w:sz w:val="24"/>
                <w:szCs w:val="24"/>
              </w:rPr>
              <w:t>(hoặc ngày làm việc cuối tháng trước liền kề)</w:t>
            </w:r>
            <w:r w:rsidRPr="00AF7630">
              <w:rPr>
                <w:rFonts w:ascii="Times New Roman" w:eastAsia="Times New Roman" w:hAnsi="Times New Roman" w:cs="Times New Roman"/>
                <w:bCs/>
                <w:sz w:val="24"/>
                <w:szCs w:val="24"/>
              </w:rPr>
              <w:t xml:space="preserve">, </w:t>
            </w:r>
            <w:r w:rsidRPr="00AF7630">
              <w:rPr>
                <w:rFonts w:ascii="Times New Roman" w:eastAsia="Times New Roman" w:hAnsi="Times New Roman" w:cs="Times New Roman"/>
                <w:sz w:val="24"/>
                <w:szCs w:val="24"/>
              </w:rPr>
              <w:t xml:space="preserve">trừ trường hợp quy định tại khoản 2 Điều này...." </w:t>
            </w:r>
            <w:r w:rsidRPr="00AF7630">
              <w:rPr>
                <w:rFonts w:ascii="Times New Roman" w:eastAsia="Times New Roman" w:hAnsi="Times New Roman" w:cs="Times New Roman"/>
                <w:b/>
                <w:sz w:val="24"/>
                <w:szCs w:val="24"/>
              </w:rPr>
              <w:t>(DongABank)</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xml:space="preserve">- </w:t>
            </w:r>
            <w:r w:rsidRPr="00AF7630">
              <w:rPr>
                <w:rFonts w:ascii="Times New Roman" w:eastAsia="Times New Roman" w:hAnsi="Times New Roman" w:cs="Times New Roman"/>
                <w:sz w:val="24"/>
                <w:szCs w:val="24"/>
              </w:rPr>
              <w:t>VietCredit đề xuất tăng thêm thời gian thực hiện như sau:</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w:t>
            </w:r>
            <w:r w:rsidRPr="00AF7630">
              <w:rPr>
                <w:rFonts w:ascii="Times New Roman" w:eastAsia="Times New Roman" w:hAnsi="Times New Roman" w:cs="Times New Roman"/>
                <w:b/>
                <w:bCs/>
                <w:sz w:val="24"/>
                <w:szCs w:val="24"/>
              </w:rPr>
              <w:t>Điều 9. Thời điểm trích lập dự phòng rủi ro</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iCs/>
                <w:sz w:val="24"/>
                <w:szCs w:val="24"/>
              </w:rPr>
              <w:t>1. </w:t>
            </w:r>
            <w:r w:rsidRPr="00AF7630">
              <w:rPr>
                <w:rFonts w:ascii="Times New Roman" w:eastAsia="Times New Roman" w:hAnsi="Times New Roman" w:cs="Times New Roman"/>
                <w:b/>
                <w:bCs/>
                <w:i/>
                <w:iCs/>
                <w:sz w:val="24"/>
                <w:szCs w:val="24"/>
                <w:u w:val="single"/>
              </w:rPr>
              <w:t>Trong 07 (bảy) ngày làm việc</w:t>
            </w:r>
            <w:r w:rsidRPr="00AF7630">
              <w:rPr>
                <w:rFonts w:ascii="Times New Roman" w:eastAsia="Times New Roman" w:hAnsi="Times New Roman" w:cs="Times New Roman"/>
                <w:i/>
                <w:iCs/>
                <w:sz w:val="24"/>
                <w:szCs w:val="24"/>
              </w:rPr>
              <w:t> đầu tiên của tháng, trừ trường hợp quy định tại khoản 2 Điều này, tổ chức tín dụng (trừ tổ chức tín dụng là hợp tác xã, tổ chức tài chính vi mô), chi nhánh ngân hàng nước ngoài thực hiện trích lập dự phòng …</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i/>
                <w:iCs/>
                <w:sz w:val="24"/>
                <w:szCs w:val="24"/>
              </w:rPr>
              <w:t>2. </w:t>
            </w:r>
            <w:r w:rsidRPr="00AF7630">
              <w:rPr>
                <w:rFonts w:ascii="Times New Roman" w:eastAsia="Times New Roman" w:hAnsi="Times New Roman" w:cs="Times New Roman"/>
                <w:b/>
                <w:bCs/>
                <w:i/>
                <w:iCs/>
                <w:sz w:val="24"/>
                <w:szCs w:val="24"/>
                <w:u w:val="single"/>
              </w:rPr>
              <w:t>Trong 03 (ba) ngày làm việc kể từ ngày nhận được danh sách khách hàng do CIC cung cấp</w:t>
            </w:r>
            <w:r w:rsidRPr="00AF7630">
              <w:rPr>
                <w:rFonts w:ascii="Times New Roman" w:eastAsia="Times New Roman" w:hAnsi="Times New Roman" w:cs="Times New Roman"/>
                <w:i/>
                <w:iCs/>
                <w:sz w:val="24"/>
                <w:szCs w:val="24"/>
              </w:rPr>
              <w:t>, tổ chức tín dụng (trừ tổ chức tín dụng là hợp tác xã, tổ chức tài chính vi mô), chi nhánh ngân hàng nước ngoài căn cứ kết quả phân loại nợ đã được điều chỉnh...</w:t>
            </w: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(VietCredit)</w:t>
            </w:r>
          </w:p>
          <w:p w:rsidR="000D7FC4" w:rsidRPr="00AF7630" w:rsidRDefault="000D7FC4"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sz w:val="24"/>
                <w:szCs w:val="24"/>
              </w:rPr>
              <w:lastRenderedPageBreak/>
              <w:t xml:space="preserve">- </w:t>
            </w:r>
            <w:r w:rsidRPr="00AF7630">
              <w:rPr>
                <w:rFonts w:ascii="Times New Roman" w:eastAsia="Times New Roman" w:hAnsi="Times New Roman" w:cs="Times New Roman"/>
                <w:sz w:val="24"/>
                <w:szCs w:val="24"/>
              </w:rPr>
              <w:t xml:space="preserve">MB </w:t>
            </w:r>
            <w:r w:rsidRPr="00AF7630">
              <w:rPr>
                <w:rFonts w:ascii="Times New Roman" w:eastAsia="Times New Roman" w:hAnsi="Times New Roman" w:cs="Times New Roman"/>
                <w:bCs/>
                <w:sz w:val="24"/>
                <w:szCs w:val="24"/>
                <w:lang w:val="vi-VN"/>
              </w:rPr>
              <w:t xml:space="preserve">đề xuất </w:t>
            </w:r>
            <w:r w:rsidRPr="00AF7630">
              <w:rPr>
                <w:rFonts w:ascii="Times New Roman" w:eastAsia="Times New Roman" w:hAnsi="Times New Roman" w:cs="Times New Roman"/>
                <w:bCs/>
                <w:sz w:val="24"/>
                <w:szCs w:val="24"/>
              </w:rPr>
              <w:t>áp dụng phương án 2</w:t>
            </w:r>
            <w:r w:rsidRPr="00AF7630">
              <w:rPr>
                <w:rFonts w:ascii="Times New Roman" w:eastAsia="Times New Roman" w:hAnsi="Times New Roman" w:cs="Times New Roman"/>
                <w:bCs/>
                <w:sz w:val="24"/>
                <w:szCs w:val="24"/>
                <w:lang w:val="vi-VN"/>
              </w:rPr>
              <w:t xml:space="preserve"> - nhóm nợ</w:t>
            </w:r>
            <w:r w:rsidRPr="00AF7630">
              <w:rPr>
                <w:rFonts w:ascii="Times New Roman" w:eastAsia="Times New Roman" w:hAnsi="Times New Roman" w:cs="Times New Roman"/>
                <w:bCs/>
                <w:sz w:val="24"/>
                <w:szCs w:val="24"/>
              </w:rPr>
              <w:t xml:space="preserve"> trích lập dự phòng</w:t>
            </w:r>
            <w:r w:rsidRPr="00AF7630">
              <w:rPr>
                <w:rFonts w:ascii="Times New Roman" w:eastAsia="Times New Roman" w:hAnsi="Times New Roman" w:cs="Times New Roman"/>
                <w:bCs/>
                <w:sz w:val="24"/>
                <w:szCs w:val="24"/>
                <w:lang w:val="vi-VN"/>
              </w:rPr>
              <w:t xml:space="preserve"> đã bao gồm liên đới CIC (sử dụng kết quả liên đới </w:t>
            </w:r>
            <w:r w:rsidRPr="00AF7630">
              <w:rPr>
                <w:rFonts w:ascii="Times New Roman" w:eastAsia="Times New Roman" w:hAnsi="Times New Roman" w:cs="Times New Roman"/>
                <w:bCs/>
                <w:sz w:val="24"/>
                <w:szCs w:val="24"/>
              </w:rPr>
              <w:t xml:space="preserve">của ngày cuối cùng tháng trước liền kề cho kỳ trích cuối Quý; Và liên đới </w:t>
            </w:r>
            <w:r w:rsidRPr="00AF7630">
              <w:rPr>
                <w:rFonts w:ascii="Times New Roman" w:eastAsia="Times New Roman" w:hAnsi="Times New Roman" w:cs="Times New Roman"/>
                <w:bCs/>
                <w:sz w:val="24"/>
                <w:szCs w:val="24"/>
                <w:lang w:val="vi-VN"/>
              </w:rPr>
              <w:t xml:space="preserve">của </w:t>
            </w:r>
            <w:r w:rsidRPr="00AF7630">
              <w:rPr>
                <w:rFonts w:ascii="Times New Roman" w:eastAsia="Times New Roman" w:hAnsi="Times New Roman" w:cs="Times New Roman"/>
                <w:bCs/>
                <w:sz w:val="24"/>
                <w:szCs w:val="24"/>
              </w:rPr>
              <w:t>thời điểm gần nhất cho các kỳ trích tháng còn lại</w:t>
            </w:r>
            <w:r w:rsidRPr="00AF7630">
              <w:rPr>
                <w:rFonts w:ascii="Times New Roman" w:eastAsia="Times New Roman" w:hAnsi="Times New Roman" w:cs="Times New Roman"/>
                <w:bCs/>
                <w:sz w:val="24"/>
                <w:szCs w:val="24"/>
                <w:lang w:val="vi-VN"/>
              </w:rPr>
              <w:t>) nhằm đảm bảo thể hiện đúng bản chất rủi ro của Khách hàng</w:t>
            </w:r>
            <w:r w:rsidRPr="00AF7630">
              <w:rPr>
                <w:rFonts w:ascii="Times New Roman" w:eastAsia="Times New Roman" w:hAnsi="Times New Roman" w:cs="Times New Roman"/>
                <w:bCs/>
                <w:sz w:val="24"/>
                <w:szCs w:val="24"/>
              </w:rPr>
              <w:t xml:space="preserve"> và kịp thời phản ánh tổn thất xảy ra đối với khoản nợ. </w:t>
            </w:r>
          </w:p>
          <w:p w:rsidR="000D7FC4" w:rsidRPr="00AF7630" w:rsidRDefault="000D7FC4" w:rsidP="0001557F">
            <w:pPr>
              <w:jc w:val="both"/>
              <w:rPr>
                <w:rFonts w:ascii="Times New Roman" w:eastAsia="Times New Roman" w:hAnsi="Times New Roman" w:cs="Times New Roman"/>
                <w:bCs/>
                <w:sz w:val="24"/>
                <w:szCs w:val="24"/>
                <w:lang w:val="vi-VN"/>
              </w:rPr>
            </w:pPr>
            <w:r w:rsidRPr="00AF7630">
              <w:rPr>
                <w:rFonts w:ascii="Times New Roman" w:eastAsia="Times New Roman" w:hAnsi="Times New Roman" w:cs="Times New Roman"/>
                <w:bCs/>
                <w:sz w:val="24"/>
                <w:szCs w:val="24"/>
              </w:rPr>
              <w:t xml:space="preserve">+ Theo cả 2 phương án trích, đề nghị hướng dẫn rõ: (1) Chi phí dự phòng tính đến ngày cuối cùng tháng trước liền kề (T-1) được ghi nhận vào chi phí của kỳ báo cáo tài chính tháng T (phù hợp với ngày hạch toán -mùng 5 hoặc 10 của tháng sau) hay tháng T-1 (phù hợp với ngày chốt dữ liệu đánh giá rủi ro phát sinh); (2) Báo cáo tài chính chốt cuối quý sau khi ghi nhận chi phí dự phòng theo hướng dẫn (ngày 10 tháng sau) sẽ có chênh lệch với cân đối ngày cuối tháng (đã gửi từ ngày đầu tháng sau), như vậy TCTD có phải gửi lại cân đối ngày cuối tháng sau khi điều chỉnh khớp số chốt quý hay không? </w:t>
            </w:r>
          </w:p>
          <w:p w:rsidR="000D7FC4" w:rsidRPr="00AF7630" w:rsidRDefault="000D7FC4" w:rsidP="0001557F">
            <w:pPr>
              <w:ind w:left="34"/>
              <w:jc w:val="both"/>
              <w:rPr>
                <w:rFonts w:ascii="Times New Roman" w:eastAsia="Times New Roman" w:hAnsi="Times New Roman" w:cs="Times New Roman"/>
                <w:b/>
                <w:sz w:val="24"/>
                <w:szCs w:val="24"/>
                <w:lang w:val="vi-VN"/>
              </w:rPr>
            </w:pPr>
            <w:r w:rsidRPr="00AF7630">
              <w:rPr>
                <w:rFonts w:ascii="Times New Roman" w:eastAsia="Times New Roman" w:hAnsi="Times New Roman" w:cs="Times New Roman"/>
                <w:bCs/>
                <w:sz w:val="24"/>
                <w:szCs w:val="24"/>
              </w:rPr>
              <w:t>DTNĐ quy định thời điểm trích lập dự phòng đối với các tháng đầu tiên của quý: “</w:t>
            </w:r>
            <w:r w:rsidRPr="00AF7630">
              <w:rPr>
                <w:rFonts w:ascii="Times New Roman" w:eastAsia="Times New Roman" w:hAnsi="Times New Roman" w:cs="Times New Roman"/>
                <w:bCs/>
                <w:i/>
                <w:iCs/>
                <w:sz w:val="24"/>
                <w:szCs w:val="24"/>
              </w:rPr>
              <w:t xml:space="preserve">trong 10 ngày làm việc đầu tiên của tháng đầu tiên của quý…” </w:t>
            </w:r>
            <w:r w:rsidRPr="00AF7630">
              <w:rPr>
                <w:rFonts w:ascii="Times New Roman" w:eastAsia="Times New Roman" w:hAnsi="Times New Roman" w:cs="Times New Roman"/>
                <w:bCs/>
                <w:iCs/>
                <w:sz w:val="24"/>
                <w:szCs w:val="24"/>
              </w:rPr>
              <w:t>theo</w:t>
            </w:r>
            <w:r w:rsidRPr="00AF7630">
              <w:rPr>
                <w:rFonts w:ascii="Times New Roman" w:eastAsia="Times New Roman" w:hAnsi="Times New Roman" w:cs="Times New Roman"/>
                <w:iCs/>
                <w:sz w:val="24"/>
                <w:szCs w:val="24"/>
              </w:rPr>
              <w:t xml:space="preserve"> liên đới CIC</w:t>
            </w:r>
            <w:r w:rsidRPr="00AF7630">
              <w:rPr>
                <w:rFonts w:ascii="Times New Roman" w:eastAsia="Times New Roman" w:hAnsi="Times New Roman" w:cs="Times New Roman"/>
                <w:sz w:val="24"/>
                <w:szCs w:val="24"/>
              </w:rPr>
              <w:t xml:space="preserve">. Tuy nhiên, thực tế CIC thường trả kết quả vào ngày 10- ngày 12 hàng tháng, do đó có thể làm ảnh hưởng tới thời gian thực hiện trích lập dự phòng sau CIC của TCTD. </w:t>
            </w:r>
            <w:r w:rsidRPr="00AF7630">
              <w:rPr>
                <w:rFonts w:ascii="Times New Roman" w:eastAsia="Times New Roman" w:hAnsi="Times New Roman" w:cs="Times New Roman"/>
                <w:b/>
                <w:bCs/>
                <w:sz w:val="24"/>
                <w:szCs w:val="24"/>
              </w:rPr>
              <w:t>Kiến nghị NHNN giữ nguyên thời gian quy định như hiện tại</w:t>
            </w:r>
            <w:r w:rsidRPr="00AF7630">
              <w:rPr>
                <w:rFonts w:ascii="Times New Roman" w:eastAsia="Times New Roman" w:hAnsi="Times New Roman" w:cs="Times New Roman"/>
                <w:sz w:val="24"/>
                <w:szCs w:val="24"/>
              </w:rPr>
              <w:t>, “</w:t>
            </w:r>
            <w:r w:rsidRPr="00AF7630">
              <w:rPr>
                <w:rFonts w:ascii="Times New Roman" w:eastAsia="Times New Roman" w:hAnsi="Times New Roman" w:cs="Times New Roman"/>
                <w:i/>
                <w:iCs/>
                <w:sz w:val="24"/>
                <w:szCs w:val="24"/>
              </w:rPr>
              <w:t xml:space="preserve">trong thời hạn 03 ngày kể từ ngày nhận được danh sách khách hàng do CIC cung cấp…” </w:t>
            </w:r>
            <w:r w:rsidRPr="00AF7630">
              <w:rPr>
                <w:rFonts w:ascii="Times New Roman" w:eastAsia="Times New Roman" w:hAnsi="Times New Roman" w:cs="Times New Roman"/>
                <w:sz w:val="24"/>
                <w:szCs w:val="24"/>
              </w:rPr>
              <w:t>để đảm bảo phù hợp với thực tiễn thực hiện.</w:t>
            </w:r>
          </w:p>
          <w:p w:rsidR="000D7FC4" w:rsidRPr="00AF7630" w:rsidRDefault="000D7FC4" w:rsidP="0001557F">
            <w:pPr>
              <w:ind w:left="34"/>
              <w:jc w:val="both"/>
              <w:rPr>
                <w:rFonts w:ascii="Times New Roman" w:eastAsia="Times New Roman" w:hAnsi="Times New Roman" w:cs="Times New Roman"/>
                <w:b/>
                <w:sz w:val="24"/>
                <w:szCs w:val="24"/>
                <w:lang w:val="vi-VN"/>
              </w:rPr>
            </w:pPr>
            <w:r w:rsidRPr="00AF7630">
              <w:rPr>
                <w:rFonts w:ascii="Times New Roman" w:eastAsia="Times New Roman" w:hAnsi="Times New Roman" w:cs="Times New Roman"/>
                <w:bCs/>
                <w:sz w:val="24"/>
                <w:szCs w:val="24"/>
              </w:rPr>
              <w:t xml:space="preserve">+ </w:t>
            </w:r>
            <w:r w:rsidRPr="00AF7630">
              <w:rPr>
                <w:rFonts w:ascii="Times New Roman" w:eastAsia="Times New Roman" w:hAnsi="Times New Roman" w:cs="Times New Roman"/>
                <w:bCs/>
                <w:sz w:val="24"/>
                <w:szCs w:val="24"/>
                <w:lang w:val="vi-VN"/>
              </w:rPr>
              <w:t>Theo quy định của NHNN về gửi báo cáo số liệu cân đối tháng (hiện tại là Thông tư 11/2018 ngày 17/4/2018: "</w:t>
            </w:r>
            <w:r w:rsidRPr="00AF7630">
              <w:rPr>
                <w:rFonts w:ascii="Times New Roman" w:eastAsia="Times New Roman" w:hAnsi="Times New Roman" w:cs="Times New Roman"/>
                <w:bCs/>
                <w:i/>
                <w:sz w:val="24"/>
                <w:szCs w:val="24"/>
                <w:lang w:val="vi-VN"/>
              </w:rPr>
              <w:t>Việc gửi Bảng cân đối tài khoản kế toán tháng chậm nhất ngày 7 tháng tiếp theo tháng báo cáo</w:t>
            </w:r>
            <w:r w:rsidRPr="00AF7630">
              <w:rPr>
                <w:rFonts w:ascii="Times New Roman" w:eastAsia="Times New Roman" w:hAnsi="Times New Roman" w:cs="Times New Roman"/>
                <w:bCs/>
                <w:sz w:val="24"/>
                <w:szCs w:val="24"/>
                <w:lang w:val="vi-VN"/>
              </w:rPr>
              <w:t xml:space="preserve">" (không phân biệt ngày làm việc). Như vậy thời hạn quy định về thời gian trích lập dự phòng chưa phù hợp, khi Ngân hàng lập gửi báo cáo cân đối tháng trong vòng 7 ngày (tính cả ngày nghỉ, ngày lễ) thì có thể không gồm kết quả trích lập </w:t>
            </w:r>
            <w:r w:rsidRPr="00AF7630">
              <w:rPr>
                <w:rFonts w:ascii="Times New Roman" w:eastAsia="Times New Roman" w:hAnsi="Times New Roman" w:cs="Times New Roman"/>
                <w:bCs/>
                <w:sz w:val="24"/>
                <w:szCs w:val="24"/>
              </w:rPr>
              <w:t>dự phòng</w:t>
            </w:r>
            <w:r w:rsidRPr="00AF7630">
              <w:rPr>
                <w:rFonts w:ascii="Times New Roman" w:eastAsia="Times New Roman" w:hAnsi="Times New Roman" w:cs="Times New Roman"/>
                <w:bCs/>
                <w:sz w:val="24"/>
                <w:szCs w:val="24"/>
                <w:lang w:val="vi-VN"/>
              </w:rPr>
              <w:t xml:space="preserve"> theo quy định tại dự thảo</w:t>
            </w:r>
            <w:r w:rsidRPr="00AF7630">
              <w:rPr>
                <w:rFonts w:ascii="Times New Roman" w:eastAsia="Times New Roman" w:hAnsi="Times New Roman" w:cs="Times New Roman"/>
                <w:b/>
                <w:sz w:val="24"/>
                <w:szCs w:val="24"/>
              </w:rPr>
              <w:t>.</w:t>
            </w:r>
            <w:r w:rsidRPr="00AF7630">
              <w:rPr>
                <w:rFonts w:ascii="Times New Roman" w:eastAsia="Times New Roman" w:hAnsi="Times New Roman" w:cs="Times New Roman"/>
                <w:bCs/>
                <w:sz w:val="24"/>
                <w:szCs w:val="24"/>
                <w:lang w:val="vi-VN"/>
              </w:rPr>
              <w:t xml:space="preserve"> </w:t>
            </w:r>
          </w:p>
          <w:p w:rsidR="000D7FC4" w:rsidRPr="00AF7630" w:rsidRDefault="000D7FC4" w:rsidP="0001557F">
            <w:pPr>
              <w:jc w:val="both"/>
              <w:rPr>
                <w:rFonts w:ascii="Times New Roman" w:eastAsia="Times New Roman" w:hAnsi="Times New Roman" w:cs="Times New Roman"/>
                <w:b/>
                <w:bCs/>
                <w:i/>
                <w:iCs/>
                <w:sz w:val="24"/>
                <w:szCs w:val="24"/>
              </w:rPr>
            </w:pPr>
            <w:r w:rsidRPr="00AF7630">
              <w:rPr>
                <w:rFonts w:ascii="Times New Roman" w:eastAsia="Times New Roman" w:hAnsi="Times New Roman" w:cs="Times New Roman"/>
                <w:bCs/>
                <w:sz w:val="24"/>
                <w:szCs w:val="24"/>
              </w:rPr>
              <w:lastRenderedPageBreak/>
              <w:t>Ngoài ra, đề xuất</w:t>
            </w:r>
            <w:r w:rsidRPr="00AF7630">
              <w:rPr>
                <w:rFonts w:ascii="Times New Roman" w:eastAsia="Times New Roman" w:hAnsi="Times New Roman" w:cs="Times New Roman"/>
                <w:bCs/>
                <w:sz w:val="24"/>
                <w:szCs w:val="24"/>
                <w:lang w:val="vi-VN"/>
              </w:rPr>
              <w:t xml:space="preserve"> dự thảo Nghị định quy định thêm về việc TCTD chủ động lựa chọn tần suất trích lập dự phòng trong tháng đảm bảo phản ánh kịp thời dự phòng cho rủi ro tín dụng có thể phát sinh</w:t>
            </w:r>
            <w:r w:rsidRPr="00AF7630">
              <w:rPr>
                <w:rFonts w:ascii="Times New Roman" w:eastAsia="Times New Roman" w:hAnsi="Times New Roman" w:cs="Times New Roman"/>
                <w:bCs/>
                <w:sz w:val="24"/>
                <w:szCs w:val="24"/>
              </w:rPr>
              <w:t xml:space="preserve"> phù hợp Khoản 1 Điều 8- Dự thảo Thông tư về Phân loại nợ, TCTD được tự phân loại nợ theo quy định nội bộ ngoài tần suất hàng tháng.</w:t>
            </w:r>
            <w:r w:rsidRPr="00AF7630">
              <w:rPr>
                <w:rFonts w:ascii="Times New Roman" w:eastAsia="Times New Roman" w:hAnsi="Times New Roman" w:cs="Times New Roman"/>
                <w:b/>
                <w:bCs/>
                <w:sz w:val="24"/>
                <w:szCs w:val="24"/>
              </w:rPr>
              <w:t>(MB)</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 Bộ Công an</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ACBL, Sacombank, Công ty Tài chính TNHH Ngân hàng Việt Nam Thịnh Vượng SMBC, SAIGONBANK, DongABank, Agribank, PvcomBank, MB, Techcombank, VPBank, VietCredit</w:t>
            </w:r>
          </w:p>
          <w:p w:rsidR="000D7FC4" w:rsidRPr="00AF7630" w:rsidRDefault="000D7FC4">
            <w:pPr>
              <w:jc w:val="both"/>
              <w:rPr>
                <w:rFonts w:ascii="Times New Roman" w:eastAsia="Times New Roman" w:hAnsi="Times New Roman" w:cs="Times New Roman"/>
                <w:sz w:val="24"/>
                <w:szCs w:val="24"/>
              </w:rPr>
            </w:pPr>
          </w:p>
        </w:tc>
        <w:tc>
          <w:tcPr>
            <w:tcW w:w="4677" w:type="dxa"/>
            <w:vMerge/>
          </w:tcPr>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pStyle w:val="ListParagraph"/>
              <w:ind w:left="0"/>
              <w:contextualSpacing w:val="0"/>
              <w:jc w:val="both"/>
              <w:rPr>
                <w:rFonts w:ascii="Times New Roman" w:hAnsi="Times New Roman" w:cs="Times New Roman"/>
                <w:sz w:val="24"/>
                <w:szCs w:val="24"/>
              </w:rPr>
            </w:pPr>
            <w:r w:rsidRPr="00AF7630">
              <w:rPr>
                <w:rFonts w:ascii="Times New Roman" w:hAnsi="Times New Roman" w:cs="Times New Roman"/>
                <w:b/>
                <w:sz w:val="24"/>
                <w:szCs w:val="24"/>
              </w:rPr>
              <w:t>1.</w:t>
            </w:r>
            <w:r w:rsidRPr="00AF7630">
              <w:rPr>
                <w:rFonts w:ascii="Times New Roman" w:hAnsi="Times New Roman" w:cs="Times New Roman"/>
                <w:sz w:val="24"/>
                <w:szCs w:val="24"/>
              </w:rPr>
              <w:t xml:space="preserve"> Công văn số 2156/NHNN-TTGSNH ngày 12/04/2022 có giải đáp, hướng dẫn thực hiện Thông tư số 11/2021/TT-NHNN, trong đó </w:t>
            </w:r>
            <w:r w:rsidRPr="00AF7630">
              <w:rPr>
                <w:rFonts w:ascii="Times New Roman" w:hAnsi="Times New Roman" w:cs="Times New Roman"/>
                <w:sz w:val="24"/>
                <w:szCs w:val="24"/>
                <w:u w:val="single"/>
              </w:rPr>
              <w:t>có hướng dẫn cụ thể việc điều chỉnh chi phí trích lập dự phòng rủi ro trên báo cáo tài chính vào tháng cuối cùng của Quý</w:t>
            </w:r>
            <w:r w:rsidRPr="00AF7630">
              <w:rPr>
                <w:rFonts w:ascii="Times New Roman" w:hAnsi="Times New Roman" w:cs="Times New Roman"/>
                <w:sz w:val="24"/>
                <w:szCs w:val="24"/>
              </w:rPr>
              <w:t>. Trong trường hợp vẫn tiếp tục thực hiện theo tinh thần của công văn này, kính đề nghị Đơn vị soạn thảo bổ sung vào Dự thảo Nghị định để có hiệu lực về pháp lý cao hơn.</w:t>
            </w:r>
          </w:p>
          <w:p w:rsidR="000D7FC4" w:rsidRPr="00AF7630" w:rsidRDefault="000D7FC4" w:rsidP="0001557F">
            <w:pPr>
              <w:pStyle w:val="ListParagraph"/>
              <w:ind w:left="0"/>
              <w:contextualSpacing w:val="0"/>
              <w:jc w:val="both"/>
              <w:rPr>
                <w:rFonts w:ascii="Times New Roman" w:hAnsi="Times New Roman" w:cs="Times New Roman"/>
                <w:sz w:val="24"/>
                <w:szCs w:val="24"/>
              </w:rPr>
            </w:pPr>
            <w:r w:rsidRPr="00AF7630">
              <w:rPr>
                <w:rFonts w:ascii="Times New Roman" w:hAnsi="Times New Roman" w:cs="Times New Roman"/>
                <w:sz w:val="24"/>
                <w:szCs w:val="24"/>
              </w:rPr>
              <w:t>Ngoài ra, việc phân loại nhóm nợ theo CIC và điều chỉnh chi phí trích lập dự phòng trên báo cáo tài chính vào tháng cuối cùng của Quý chưa quy định rõ ngoài điều chỉnh chi phí trích lập dự phòng thì có phải thực hiện điều chỉnh dự thu, dự chi, thoái thu/chi tương ứng nhóm nợ có điều chỉnh hay không? Tuy nhiên, việc điều chỉnh dự thu, dự chi là phức tạp, kính đề nghị Đơn vị soạn thảo xem xét bổ sung quy định rõ chỉ quy định việc điều chỉnh chi phí trích lập dự phòng, cho phép không thực hiện điều chỉnh các khoản dự thu, dự chi khác có liên quan.</w:t>
            </w:r>
          </w:p>
          <w:p w:rsidR="000D7FC4" w:rsidRPr="00AF7630" w:rsidRDefault="000D7FC4" w:rsidP="0001557F">
            <w:pPr>
              <w:pStyle w:val="ListParagraph"/>
              <w:ind w:left="0"/>
              <w:contextualSpacing w:val="0"/>
              <w:jc w:val="both"/>
              <w:rPr>
                <w:rFonts w:ascii="Times New Roman" w:hAnsi="Times New Roman" w:cs="Times New Roman"/>
                <w:sz w:val="24"/>
                <w:szCs w:val="24"/>
              </w:rPr>
            </w:pPr>
            <w:r w:rsidRPr="00AF7630">
              <w:rPr>
                <w:rFonts w:ascii="Times New Roman" w:hAnsi="Times New Roman" w:cs="Times New Roman"/>
                <w:b/>
                <w:sz w:val="24"/>
                <w:szCs w:val="24"/>
              </w:rPr>
              <w:t>2.</w:t>
            </w:r>
            <w:r w:rsidRPr="00AF7630">
              <w:rPr>
                <w:rFonts w:ascii="Times New Roman" w:hAnsi="Times New Roman" w:cs="Times New Roman"/>
                <w:sz w:val="24"/>
                <w:szCs w:val="24"/>
              </w:rPr>
              <w:t xml:space="preserve"> Trường hợp khách hàng có dư nợ tại tổ chức tín dụng vào cuối quý báo cáo nhưng khách hàng tất toán nợ vào đầu tháng kế tiếp (trước khi CIC gửi danh sách) thì theo Dự thảo Nghị định, tổ chức tín dụng cũng phải thực hiện trích lập dự phòng và điều chỉnh số tiền trích lập dự phòng. Tuy nhiên, để giảm bớt thủ tục và giảm chi phí phát sinh dự phòng không cần thiết cho các tổ chức tín dụng đối với các trường hợp khách hàng đã hết dư nợ, không còn rủi ro, </w:t>
            </w:r>
            <w:r w:rsidRPr="00AF7630">
              <w:rPr>
                <w:rFonts w:ascii="Times New Roman" w:hAnsi="Times New Roman" w:cs="Times New Roman"/>
                <w:color w:val="343A40"/>
                <w:sz w:val="24"/>
                <w:szCs w:val="24"/>
              </w:rPr>
              <w:t xml:space="preserve">SAIGONBANK đề xuất Đơn vị soạn thảo xem xét cho phép không trích lập và không thực hiện điều chỉnh số tiền </w:t>
            </w:r>
            <w:r w:rsidRPr="00AF7630">
              <w:rPr>
                <w:rFonts w:ascii="Times New Roman" w:hAnsi="Times New Roman" w:cs="Times New Roman"/>
                <w:sz w:val="24"/>
                <w:szCs w:val="24"/>
              </w:rPr>
              <w:t xml:space="preserve">trích lập dự phòng rủi ro đối với trường hợp này. </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hAnsi="Times New Roman" w:cs="Times New Roman"/>
                <w:b/>
                <w:sz w:val="24"/>
                <w:szCs w:val="24"/>
              </w:rPr>
              <w:t>3.</w:t>
            </w:r>
            <w:r w:rsidRPr="00AF7630">
              <w:rPr>
                <w:rFonts w:ascii="Times New Roman" w:hAnsi="Times New Roman" w:cs="Times New Roman"/>
                <w:sz w:val="24"/>
                <w:szCs w:val="24"/>
              </w:rPr>
              <w:t xml:space="preserve"> Việc điều chỉnh số tiền trích lập dự phòng rủi ro của tháng cuối cùng của Quý cũng dẫn đến số liệu không thống </w:t>
            </w:r>
            <w:r w:rsidRPr="00AF7630">
              <w:rPr>
                <w:rFonts w:ascii="Times New Roman" w:hAnsi="Times New Roman" w:cs="Times New Roman"/>
                <w:sz w:val="24"/>
                <w:szCs w:val="24"/>
              </w:rPr>
              <w:lastRenderedPageBreak/>
              <w:t>nhất giữa số liệu trên hệ thống và báo cáo tài chính. Bên cạnh đó thời gian nộp báo cáo tài chính có sự khác nhau giữa Ủy ban chứng khoán Nhà nước và Ngân hàng Nhà nước gây khó khăn cho Ngân hàng trong việc lập báo cáo kịp thời gian theo quy định, cụ thể điểm c khoản 3 điều 14 Thông tư số 96/2020/TT-BTC ngày 16/11/2020 thì “</w:t>
            </w:r>
            <w:r w:rsidRPr="00AF7630">
              <w:rPr>
                <w:rFonts w:ascii="Times New Roman" w:hAnsi="Times New Roman" w:cs="Times New Roman"/>
                <w:i/>
                <w:iCs/>
                <w:sz w:val="24"/>
                <w:szCs w:val="24"/>
              </w:rPr>
              <w:t xml:space="preserve">Tổ chức niêm yết cổ phiếu, công ty đại chúng quy mô lớn phải công bố báo cáo tài chính quý trong thời hạn </w:t>
            </w:r>
            <w:r w:rsidRPr="00AF7630">
              <w:rPr>
                <w:rFonts w:ascii="Times New Roman" w:hAnsi="Times New Roman" w:cs="Times New Roman"/>
                <w:b/>
                <w:bCs/>
                <w:i/>
                <w:iCs/>
                <w:sz w:val="24"/>
                <w:szCs w:val="24"/>
              </w:rPr>
              <w:t>20 ngày</w:t>
            </w:r>
            <w:r w:rsidRPr="00AF7630">
              <w:rPr>
                <w:rFonts w:ascii="Times New Roman" w:hAnsi="Times New Roman" w:cs="Times New Roman"/>
                <w:i/>
                <w:iCs/>
                <w:sz w:val="24"/>
                <w:szCs w:val="24"/>
              </w:rPr>
              <w:t xml:space="preserve"> kể từ ngày kết thúc quý. Tổ chức niêm yết cổ phiếu, công ty đại chúng quy mô lớn công bố báo cáo tài chính quý được soát xét (nếu có) trong thời hạn 05 ngày, kể từ ngày tổ chức kiểm toán ký báo cáo soát xét nhưng không được vượt quá 45 ngày, kể từ ngày kết thúc quý</w:t>
            </w:r>
            <w:r w:rsidRPr="00AF7630">
              <w:rPr>
                <w:rFonts w:ascii="Times New Roman" w:hAnsi="Times New Roman" w:cs="Times New Roman"/>
                <w:sz w:val="24"/>
                <w:szCs w:val="24"/>
              </w:rPr>
              <w:t>”, trong khi đó thời gian nộp báo cáo tài chính quý cho cơ quan nhà nước căn cứ theo Điều 7 Thông tư số 49/2014/TT-NHNN ngày 31/12/2014 thì t</w:t>
            </w:r>
            <w:r w:rsidRPr="00AF7630">
              <w:rPr>
                <w:rFonts w:ascii="Times New Roman" w:hAnsi="Times New Roman" w:cs="Times New Roman"/>
                <w:i/>
                <w:iCs/>
                <w:sz w:val="24"/>
                <w:szCs w:val="24"/>
              </w:rPr>
              <w:t xml:space="preserve">hời hạn nộp báo cáo tài chính giữa niên độ chậm nhất là </w:t>
            </w:r>
            <w:r w:rsidRPr="00AF7630">
              <w:rPr>
                <w:rFonts w:ascii="Times New Roman" w:hAnsi="Times New Roman" w:cs="Times New Roman"/>
                <w:b/>
                <w:bCs/>
                <w:i/>
                <w:iCs/>
                <w:sz w:val="24"/>
                <w:szCs w:val="24"/>
              </w:rPr>
              <w:t>ngày 30 tháng đầu tiên của quý kế tiếp</w:t>
            </w:r>
            <w:r w:rsidRPr="00AF7630">
              <w:rPr>
                <w:rFonts w:ascii="Times New Roman" w:hAnsi="Times New Roman" w:cs="Times New Roman"/>
                <w:i/>
                <w:iCs/>
                <w:sz w:val="24"/>
                <w:szCs w:val="24"/>
              </w:rPr>
              <w:t>.</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lastRenderedPageBreak/>
              <w:t>SAIGONBANK</w:t>
            </w:r>
          </w:p>
        </w:tc>
        <w:tc>
          <w:tcPr>
            <w:tcW w:w="4677" w:type="dxa"/>
          </w:tcPr>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1. Nội dung 1</w:t>
            </w:r>
          </w:p>
          <w:p w:rsidR="000D7FC4" w:rsidRPr="00AF7630" w:rsidRDefault="000D7FC4" w:rsidP="00FA127B">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Tiếp thu, chỉnh sửa Điều 9 (theo Phương án 2) như sau:</w:t>
            </w:r>
          </w:p>
          <w:p w:rsidR="000D7FC4" w:rsidRPr="00AF7630" w:rsidRDefault="000D7FC4" w:rsidP="00FA127B">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 xml:space="preserve">“1. </w:t>
            </w:r>
            <w:r w:rsidRPr="00AF7630">
              <w:rPr>
                <w:rFonts w:ascii="Times New Roman" w:eastAsia="Times New Roman" w:hAnsi="Times New Roman" w:cs="Times New Roman"/>
                <w:i/>
                <w:sz w:val="24"/>
                <w:szCs w:val="24"/>
                <w:u w:val="single"/>
              </w:rPr>
              <w:t>Ngân hàng thương mại, tổ chức tín dụng phi ngân hàng, chi nhánh ngân hàng nước ngoài thực hiện trích lập dự phòng rủi ro như sau:</w:t>
            </w:r>
          </w:p>
          <w:p w:rsidR="000D7FC4" w:rsidRPr="00AF7630" w:rsidRDefault="000D7FC4" w:rsidP="00FA127B">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i/>
                <w:sz w:val="24"/>
                <w:szCs w:val="24"/>
              </w:rPr>
              <w:t xml:space="preserve">…b) Trong 10 (mười) ngày làm việc đầu tiên của tháng đầu tiên của quý, tổ chức tín dụng, chi nhánh ngân hàng nước ngoài căn cứ kết quả phân loại nợ đã được điều chỉnh theo nhóm nợ của danh sách khách hàng do CIC cung cấp theo quy định của Ngân hàng Nhà nước về phân loại tài sản có trong hoạt động của tổ chức tín dụng, chi nhánh ngân hàng nước ngoài để </w:t>
            </w:r>
            <w:r w:rsidRPr="00AF7630">
              <w:rPr>
                <w:rFonts w:ascii="Times New Roman" w:eastAsia="Times New Roman" w:hAnsi="Times New Roman" w:cs="Times New Roman"/>
                <w:i/>
                <w:sz w:val="24"/>
                <w:szCs w:val="24"/>
                <w:u w:val="single"/>
              </w:rPr>
              <w:t>điều chỉnh số tiền</w:t>
            </w:r>
            <w:r w:rsidRPr="00AF7630">
              <w:rPr>
                <w:rFonts w:ascii="Times New Roman" w:eastAsia="Times New Roman" w:hAnsi="Times New Roman" w:cs="Times New Roman"/>
                <w:i/>
                <w:sz w:val="24"/>
                <w:szCs w:val="24"/>
              </w:rPr>
              <w:t xml:space="preserve"> trích lập dự phòng rủi ro cho thời điểm cuối ngày cuối cùng của tháng trước liền kề </w:t>
            </w:r>
            <w:r w:rsidRPr="00AF7630">
              <w:rPr>
                <w:rFonts w:ascii="Times New Roman" w:eastAsia="Times New Roman" w:hAnsi="Times New Roman" w:cs="Times New Roman"/>
                <w:i/>
                <w:sz w:val="24"/>
                <w:szCs w:val="24"/>
                <w:u w:val="single"/>
              </w:rPr>
              <w:t>và thể hiện số tiền trích lập dự phòng rủi ro này trên báo cáo tài chính cho thời điểm cuối ngày cuối cùng của tháng trước liền kề.</w:t>
            </w:r>
            <w:r w:rsidRPr="00AF7630">
              <w:rPr>
                <w:rFonts w:ascii="Times New Roman" w:eastAsia="Times New Roman" w:hAnsi="Times New Roman" w:cs="Times New Roman"/>
                <w:i/>
                <w:sz w:val="24"/>
                <w:szCs w:val="24"/>
              </w:rPr>
              <w: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Trên cơ sở đó,</w:t>
            </w:r>
            <w:r w:rsidRPr="00AF7630">
              <w:rPr>
                <w:rFonts w:ascii="Times New Roman" w:eastAsia="Times New Roman" w:hAnsi="Times New Roman" w:cs="Times New Roman"/>
                <w:b/>
                <w:sz w:val="24"/>
                <w:szCs w:val="24"/>
              </w:rPr>
              <w:t xml:space="preserve"> </w:t>
            </w:r>
            <w:r w:rsidRPr="00AF7630">
              <w:rPr>
                <w:rFonts w:ascii="Times New Roman" w:eastAsia="Times New Roman" w:hAnsi="Times New Roman" w:cs="Times New Roman"/>
                <w:sz w:val="24"/>
                <w:szCs w:val="24"/>
              </w:rPr>
              <w:t>TCTD, chi nhánh NHNg xác định các chỉ tiêu khác trên báo cáo tài chính theo quy định tại Nghị định này và quy định pháp luật có liên quan.</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2. Nội dung 2:</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TCTD, chi nhánh NHNg thực hiện  theo quy định tại dự thảo Nghị định.</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3. Nội dung 3: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Quy định tại dự thảo Nghị định đã phù hợp để TCTD, chi nhánh NHNg thực hiện lập các </w:t>
            </w:r>
            <w:r w:rsidRPr="00AF7630">
              <w:rPr>
                <w:rFonts w:ascii="Times New Roman" w:eastAsia="Times New Roman" w:hAnsi="Times New Roman" w:cs="Times New Roman"/>
                <w:sz w:val="24"/>
                <w:szCs w:val="24"/>
              </w:rPr>
              <w:lastRenderedPageBreak/>
              <w:t>báo cáo theo quy định pháp luật.</w:t>
            </w: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12898" w:type="dxa"/>
            <w:gridSpan w:val="3"/>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Đề xuất Phương án khác (10 ý kiến)</w:t>
            </w: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12898" w:type="dxa"/>
            <w:gridSpan w:val="3"/>
          </w:tcPr>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Nhóm ý kiến đề nghị </w:t>
            </w:r>
            <w:r w:rsidRPr="00AF7630">
              <w:rPr>
                <w:rFonts w:ascii="Times New Roman" w:eastAsia="Times New Roman" w:hAnsi="Times New Roman" w:cs="Times New Roman"/>
                <w:b/>
                <w:bCs/>
                <w:sz w:val="24"/>
                <w:szCs w:val="24"/>
              </w:rPr>
              <w:t>cho phép trích lập dự phòng rủi ro định kỳ hàng tháng theo nhóm nợ cao nhất sau khi đã nhận được nhóm nợ có rủi ro cao nhất theo danh sách CIC cung cấp</w:t>
            </w:r>
            <w:r w:rsidRPr="00AF7630">
              <w:rPr>
                <w:rFonts w:ascii="Times New Roman" w:eastAsia="Times New Roman" w:hAnsi="Times New Roman" w:cs="Times New Roman"/>
                <w:b/>
                <w:sz w:val="24"/>
                <w:szCs w:val="24"/>
              </w:rPr>
              <w:t xml:space="preserve"> (6 ý kiến)</w:t>
            </w: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 xml:space="preserve">1. </w:t>
            </w:r>
            <w:r w:rsidRPr="00AF7630">
              <w:rPr>
                <w:rFonts w:ascii="Times New Roman" w:eastAsia="Times New Roman" w:hAnsi="Times New Roman" w:cs="Times New Roman"/>
                <w:sz w:val="24"/>
                <w:szCs w:val="24"/>
              </w:rPr>
              <w:t>Đề xuất Đơn vị soạn thảo xem xét quy định việc trích lập dự phòng theo hướng:</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Thời điểm trích lập dự phòng: 1 lần mỗi tháng, sau khi CIC cung cấp danh sách khách hàng theo nhóm nợ có mức độ rủi ro cao nhất.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Mức trích lập dự phòng rủi ro theo nhóm nợ sau khi điều chỉnh theo danh sách CIC cung cấp.</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Đề nghị NHNN xem xet một trong 2 phương án sau: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Phương án 1: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Hàng tháng, tổ chức tín dụng </w:t>
            </w:r>
            <w:r w:rsidRPr="00AF7630">
              <w:rPr>
                <w:rFonts w:ascii="Times New Roman" w:eastAsia="Times New Roman" w:hAnsi="Times New Roman" w:cs="Times New Roman"/>
                <w:sz w:val="24"/>
                <w:szCs w:val="24"/>
                <w:u w:val="single"/>
              </w:rPr>
              <w:t xml:space="preserve">tự thực hiện phân loại nợ, cam kết ngoại bảng căn cứ tình trạng khoản nợ từ ngày 21 của tháng liền trước đến thời điểm cuối ngày của ngày 20 tháng này và gửi kết quả tự phân loại cho CIC vào ngày 25.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Trong thời hạn 03 ngày làm việc kể từ ngày nhận được kết quả tự phân loại nợ, cam kết ngoại bảng của các tổ chức tín dụng, CIC tổng hợp danh sách khách hàng theo </w:t>
            </w:r>
            <w:r w:rsidRPr="00AF7630">
              <w:rPr>
                <w:rFonts w:ascii="Times New Roman" w:eastAsia="Times New Roman" w:hAnsi="Times New Roman" w:cs="Times New Roman"/>
                <w:sz w:val="24"/>
                <w:szCs w:val="24"/>
              </w:rPr>
              <w:lastRenderedPageBreak/>
              <w:t>nhóm nợ có mức độ rủi ro cao nhất và cung cấp cho tổ chức tín dụng.</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Trong thời hạn 02 (hai) ngày làm việc kể từ ngày nhận được danh sách khách hàng do CIC cung cấp, trường hợp kết quả tự phân loại nợ, cam kết ngoại bảng của khách hàng thấp hơn nhóm nợ theo danh sách mà CIC cung cấp, tổ chức tín dụng phải điều chỉnh kết quả phân loại nợ, cam kết ngoại bảng và thực hiện trích lập dự phòng rủi ro theo nhóm nợ sau khi điều chỉnh theo danh sách CIC cung cấp.</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Phương án 2:</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Trong 05 ngày làm việc đầu tiên của tháng, tổ chức tín dụng tự thực hiện phân loại nợ, cam kết ngoại bảng đến thời điểm cuối ngày cuối cùng của tháng trước liền kề và gửi kết quả cho CIC.</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Trong thời hạn 03 ngày làm việc kể từ ngày nhận được kết quả tự phân loại nợ, cam kết ngoại bảng của tổ chức tín dụng, CIC tổng hợp danh sách khách hàng theo nhóm nợ có mức độ rủi ro cao nhất và cung cấp cho tổ chức tín dụng.</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Trong thời hạn 02 (hai) ngày làm việc kể từ ngày nhận được danh sách khách hàng do CIC cung cấp, trường hợp kết quả tự phân loại nợ, cam kết ngoại bảng của khách hàng thấp hơn nhóm nợ theo danh sách do CIC cung cấp, tổ chức tín dụng phải điều chỉnh kết quả phân loại nợ, cam kết ngoại bảng và thực hiện trích lập dự phòng rủi ro theo nhóm nợ sau khi điều chỉnh theo danh sách CIC cung cấp.</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Lý do: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Việc quy định như đề xuất sẽ giúp đảm bảo phản ánh tình trạng nợ và chi phí dự phòng vào báo cáo của tổ chức tín dụng hàng tháng, không gây ra sự biến động lớn về chi phí dự phòng khi so sánh giữa các tháng với nhau. </w:t>
            </w:r>
            <w:r w:rsidRPr="00AF7630">
              <w:rPr>
                <w:rFonts w:ascii="Times New Roman" w:eastAsia="Times New Roman" w:hAnsi="Times New Roman" w:cs="Times New Roman"/>
                <w:sz w:val="24"/>
                <w:szCs w:val="24"/>
              </w:rPr>
              <w:br/>
              <w:t>- Việc thực hiện trích lập dự phòng 1 lần theo nhóm nợ sau khi điều chỉnh theo danh sách CIC cung cấp cũng giúp tiết kiệm nguồn lực cho tổ chức tín dụng.</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BIDV-SuMi TRUST Leasing</w:t>
            </w:r>
          </w:p>
        </w:tc>
        <w:tc>
          <w:tcPr>
            <w:tcW w:w="4677" w:type="dxa"/>
            <w:vMerge w:val="restart"/>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Đối với đề nghị trích dự phòng rủi ro hàng tháng</w:t>
            </w:r>
            <w:r w:rsidR="00822D05">
              <w:rPr>
                <w:rFonts w:ascii="Times New Roman" w:eastAsia="Times New Roman" w:hAnsi="Times New Roman" w:cs="Times New Roman"/>
                <w:sz w:val="24"/>
                <w:szCs w:val="24"/>
              </w:rPr>
              <w:t xml:space="preserve"> </w:t>
            </w:r>
            <w:r w:rsidR="00822D05" w:rsidRPr="00822D05">
              <w:rPr>
                <w:rFonts w:ascii="Times New Roman" w:eastAsia="Times New Roman" w:hAnsi="Times New Roman" w:cs="Times New Roman"/>
                <w:bCs/>
                <w:sz w:val="24"/>
                <w:szCs w:val="24"/>
              </w:rPr>
              <w:t>theo nhóm nợ cao nhất sau khi đã nhận được nhóm nợ có rủi ro cao nhất theo danh sách CIC cung cấp</w:t>
            </w:r>
            <w:r w:rsidRPr="00AF7630">
              <w:rPr>
                <w:rFonts w:ascii="Times New Roman" w:eastAsia="Times New Roman" w:hAnsi="Times New Roman" w:cs="Times New Roman"/>
                <w:sz w:val="24"/>
                <w:szCs w:val="24"/>
              </w:rPr>
              <w:t>:</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Hiện nay, việc giám sát các TCTD, chi nhánh NHNg của NHNN (CQTTGSNH và NHNN chi nhánh, tỉnh thành phố) thực hiện trên cơ sở Bảng cân đối tài khoản kế toán được lập ngày 07 hàng tháng theo quy định tại Điều 9 Quyết định số 16/2007/QĐ-NHNN</w:t>
            </w:r>
            <w:r w:rsidRPr="00AF7630">
              <w:rPr>
                <w:rFonts w:ascii="Times New Roman" w:eastAsia="Times New Roman" w:hAnsi="Times New Roman" w:cs="Times New Roman"/>
                <w:sz w:val="24"/>
                <w:szCs w:val="24"/>
                <w:vertAlign w:val="superscript"/>
              </w:rPr>
              <w:footnoteReference w:id="1"/>
            </w:r>
            <w:r w:rsidRPr="00AF7630">
              <w:rPr>
                <w:rFonts w:ascii="Times New Roman" w:eastAsia="Times New Roman" w:hAnsi="Times New Roman" w:cs="Times New Roman"/>
                <w:sz w:val="24"/>
                <w:szCs w:val="24"/>
              </w:rPr>
              <w:t xml:space="preserve">. Trường hợp thực hiện theo phương án này thì số liệu không đảm bảo để phục vụ hoạt động giám sát (Số liệu trích lập dự phòng sẽ trễ 01 tháng so với thời điểm báo cáo). </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 Đối với đề nghị thay đổi kỳ phân loại (TCTD tự thực hiện phân loại nợ, cam kết </w:t>
            </w:r>
            <w:r w:rsidRPr="00AF7630">
              <w:rPr>
                <w:rFonts w:ascii="Times New Roman" w:eastAsia="Times New Roman" w:hAnsi="Times New Roman" w:cs="Times New Roman"/>
                <w:sz w:val="24"/>
                <w:szCs w:val="24"/>
              </w:rPr>
              <w:lastRenderedPageBreak/>
              <w:t>ngoại bảng căn cứ tình trạng khoản nợ từ ngày 21 của tháng liền trước đến thời điểm cuối ngày của ngày 20 tháng này…):</w:t>
            </w:r>
          </w:p>
          <w:p w:rsidR="000D7FC4" w:rsidRPr="00AF7630" w:rsidRDefault="000D7FC4"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Phương án này không phù hợp về mặt thống kê, số liệu của kỳ báo cáo tài chính theo quy định pháp luật về hạch toán kế toán vì khoản thời gian lấy số liệu từ ngày 21 tháng trước đến ngày 20 tháng báo cáo.</w:t>
            </w: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844781">
            <w:pPr>
              <w:jc w:val="both"/>
              <w:rPr>
                <w:rFonts w:ascii="Times New Roman" w:hAnsi="Times New Roman" w:cs="Times New Roman"/>
                <w:bCs/>
                <w:sz w:val="24"/>
                <w:szCs w:val="24"/>
                <w:lang w:val="vi-VN"/>
              </w:rPr>
            </w:pPr>
            <w:r w:rsidRPr="00AF7630">
              <w:rPr>
                <w:rFonts w:ascii="Times New Roman" w:eastAsia="Times New Roman" w:hAnsi="Times New Roman" w:cs="Times New Roman"/>
                <w:b/>
                <w:sz w:val="24"/>
                <w:szCs w:val="24"/>
              </w:rPr>
              <w:t xml:space="preserve">2. </w:t>
            </w:r>
            <w:r w:rsidRPr="00AF7630">
              <w:rPr>
                <w:rFonts w:ascii="Times New Roman" w:hAnsi="Times New Roman" w:cs="Times New Roman"/>
                <w:bCs/>
                <w:sz w:val="24"/>
                <w:szCs w:val="24"/>
                <w:lang w:val="vi-VN"/>
              </w:rPr>
              <w:t>VIB đề xuất bổ sung phương án 3: Trích lập dự phòng rủi ro định kỳ hàng tháng theo nhóm nợ cao nhất theo CIC, theo đó định kỳ hàng thực hiện như sau:</w:t>
            </w:r>
          </w:p>
          <w:p w:rsidR="000D7FC4" w:rsidRPr="00AF7630" w:rsidRDefault="000D7FC4" w:rsidP="0001557F">
            <w:pPr>
              <w:rPr>
                <w:rFonts w:ascii="Times New Roman" w:hAnsi="Times New Roman" w:cs="Times New Roman"/>
                <w:bCs/>
                <w:sz w:val="24"/>
                <w:szCs w:val="24"/>
                <w:lang w:val="vi-VN"/>
              </w:rPr>
            </w:pPr>
            <w:r w:rsidRPr="00AF7630">
              <w:rPr>
                <w:rFonts w:ascii="Times New Roman" w:hAnsi="Times New Roman" w:cs="Times New Roman"/>
                <w:bCs/>
                <w:sz w:val="24"/>
                <w:szCs w:val="24"/>
                <w:lang w:val="vi-VN"/>
              </w:rPr>
              <w:lastRenderedPageBreak/>
              <w:t xml:space="preserve">- Trong vòng </w:t>
            </w:r>
            <w:r w:rsidRPr="00AF7630">
              <w:rPr>
                <w:rFonts w:ascii="Times New Roman" w:hAnsi="Times New Roman" w:cs="Times New Roman"/>
                <w:bCs/>
                <w:sz w:val="24"/>
                <w:szCs w:val="24"/>
                <w:u w:val="single"/>
                <w:lang w:val="vi-VN"/>
              </w:rPr>
              <w:t>7 ngày đầu tiên của mỗi tháng</w:t>
            </w:r>
            <w:r w:rsidRPr="00AF7630">
              <w:rPr>
                <w:rFonts w:ascii="Times New Roman" w:hAnsi="Times New Roman" w:cs="Times New Roman"/>
                <w:bCs/>
                <w:sz w:val="24"/>
                <w:szCs w:val="24"/>
                <w:lang w:val="vi-VN"/>
              </w:rPr>
              <w:t xml:space="preserve"> TCTD tự PLN tại TCTD</w:t>
            </w:r>
          </w:p>
          <w:p w:rsidR="000D7FC4" w:rsidRPr="00AF7630" w:rsidRDefault="000D7FC4" w:rsidP="0001557F">
            <w:pPr>
              <w:rPr>
                <w:rFonts w:ascii="Times New Roman" w:hAnsi="Times New Roman" w:cs="Times New Roman"/>
                <w:bCs/>
                <w:sz w:val="24"/>
                <w:szCs w:val="24"/>
                <w:lang w:val="vi-VN"/>
              </w:rPr>
            </w:pPr>
            <w:r w:rsidRPr="00AF7630">
              <w:rPr>
                <w:rFonts w:ascii="Times New Roman" w:hAnsi="Times New Roman" w:cs="Times New Roman"/>
                <w:bCs/>
                <w:sz w:val="24"/>
                <w:szCs w:val="24"/>
                <w:lang w:val="vi-VN"/>
              </w:rPr>
              <w:t>- Sau khi CIC trả kết quả nhóm nợ cao nhất, trong vòng 3 ngày kể từ ngày CIC trả kết quả về TCTD cập nhật kết quả nhóm nợ cao nhất lên hệ thống.</w:t>
            </w:r>
          </w:p>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hAnsi="Times New Roman" w:cs="Times New Roman"/>
                <w:bCs/>
                <w:sz w:val="24"/>
                <w:szCs w:val="24"/>
                <w:lang w:val="vi-VN"/>
              </w:rPr>
              <w:t>- Sau 7 ngày kể từ ngày cập nhật kết quả nhóm nợ cao nhất lên hệ thống, TCTD thực hiện trích lập dự phòng cho thời điểm ngày cuối cùng của tháng trước liền kề theo kết quả phân loại nợ cao nhất theo CIC.</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VIB</w:t>
            </w:r>
          </w:p>
        </w:tc>
        <w:tc>
          <w:tcPr>
            <w:tcW w:w="4677" w:type="dxa"/>
            <w:vMerge/>
          </w:tcPr>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bCs/>
                <w:iCs/>
                <w:sz w:val="24"/>
                <w:szCs w:val="24"/>
              </w:rPr>
              <w:t>3.</w:t>
            </w:r>
            <w:r w:rsidRPr="00AF7630">
              <w:rPr>
                <w:rFonts w:ascii="Times New Roman" w:eastAsia="Times New Roman" w:hAnsi="Times New Roman" w:cs="Times New Roman"/>
                <w:bCs/>
                <w:iCs/>
                <w:sz w:val="24"/>
                <w:szCs w:val="24"/>
              </w:rPr>
              <w:t xml:space="preserve"> Đề nghị ngân hàng nhà nước xem xét bổ sung Phương án trong </w:t>
            </w:r>
            <w:r w:rsidRPr="00AF7630">
              <w:rPr>
                <w:rFonts w:ascii="Times New Roman" w:eastAsia="Times New Roman" w:hAnsi="Times New Roman" w:cs="Times New Roman"/>
                <w:bCs/>
                <w:iCs/>
                <w:sz w:val="24"/>
                <w:szCs w:val="24"/>
                <w:u w:val="single"/>
              </w:rPr>
              <w:t>15 ngày đầu tiên của tháng</w:t>
            </w:r>
            <w:r w:rsidRPr="00AF7630">
              <w:rPr>
                <w:rFonts w:ascii="Times New Roman" w:eastAsia="Times New Roman" w:hAnsi="Times New Roman" w:cs="Times New Roman"/>
                <w:bCs/>
                <w:iCs/>
                <w:sz w:val="24"/>
                <w:szCs w:val="24"/>
              </w:rPr>
              <w:t>, TCTD trích lập dự phòng hàng tháng dựa trên nhóm nợ CIC. Thời điểm này phù hợp với thời điểm có kết quả nhóm nợ của CIC (thường ngày 12 hàng tháng) và thời hạn nộp báo cáo trích lập dự phòng theo thông tư 35 và các văn bản sửa đổi bổ sung về chế độ báo cáo thống kê áp dụng với TCTD (ngày 15 hàng tháng).</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Standard Chartered</w:t>
            </w:r>
          </w:p>
        </w:tc>
        <w:tc>
          <w:tcPr>
            <w:tcW w:w="4677" w:type="dxa"/>
            <w:vMerge/>
          </w:tcPr>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
                <w:bCs/>
                <w:iCs/>
                <w:sz w:val="24"/>
                <w:szCs w:val="24"/>
              </w:rPr>
              <w:t>4.</w:t>
            </w:r>
            <w:r w:rsidRPr="00AF7630">
              <w:rPr>
                <w:rFonts w:ascii="Times New Roman" w:eastAsia="Times New Roman" w:hAnsi="Times New Roman" w:cs="Times New Roman"/>
                <w:bCs/>
                <w:iCs/>
                <w:sz w:val="24"/>
                <w:szCs w:val="24"/>
              </w:rPr>
              <w:t xml:space="preserve"> Kính đề nghị NHNN xem xét, cân nhắc </w:t>
            </w:r>
            <w:r w:rsidRPr="00AF7630">
              <w:rPr>
                <w:rFonts w:ascii="Times New Roman" w:eastAsia="Times New Roman" w:hAnsi="Times New Roman" w:cs="Times New Roman"/>
                <w:b/>
                <w:bCs/>
                <w:iCs/>
                <w:sz w:val="24"/>
                <w:szCs w:val="24"/>
              </w:rPr>
              <w:t>Phương án 3</w:t>
            </w:r>
            <w:r w:rsidRPr="00AF7630">
              <w:rPr>
                <w:rFonts w:ascii="Times New Roman" w:eastAsia="Times New Roman" w:hAnsi="Times New Roman" w:cs="Times New Roman"/>
                <w:bCs/>
                <w:iCs/>
                <w:sz w:val="24"/>
                <w:szCs w:val="24"/>
              </w:rPr>
              <w:t> như sau:</w:t>
            </w:r>
          </w:p>
          <w:p w:rsidR="000D7FC4" w:rsidRPr="00AF7630" w:rsidRDefault="000D7FC4" w:rsidP="0001557F">
            <w:pPr>
              <w:jc w:val="both"/>
              <w:rPr>
                <w:rFonts w:ascii="Times New Roman" w:eastAsia="Times New Roman" w:hAnsi="Times New Roman" w:cs="Times New Roman"/>
                <w:bCs/>
                <w:iCs/>
                <w:sz w:val="24"/>
                <w:szCs w:val="24"/>
              </w:rPr>
            </w:pPr>
            <w:r w:rsidRPr="00AF7630">
              <w:rPr>
                <w:rFonts w:ascii="Times New Roman" w:eastAsia="Times New Roman" w:hAnsi="Times New Roman" w:cs="Times New Roman"/>
                <w:bCs/>
                <w:iCs/>
                <w:sz w:val="24"/>
                <w:szCs w:val="24"/>
              </w:rPr>
              <w:t>“</w:t>
            </w:r>
            <w:r w:rsidRPr="00AF7630">
              <w:rPr>
                <w:rFonts w:ascii="Times New Roman" w:eastAsia="Times New Roman" w:hAnsi="Times New Roman" w:cs="Times New Roman"/>
                <w:bCs/>
                <w:iCs/>
                <w:sz w:val="24"/>
                <w:szCs w:val="24"/>
                <w:u w:val="single"/>
              </w:rPr>
              <w:t>Trong 10 (mười) ngày làm việc đầu tiên </w:t>
            </w:r>
            <w:r w:rsidRPr="00AF7630">
              <w:rPr>
                <w:rFonts w:ascii="Times New Roman" w:eastAsia="Times New Roman" w:hAnsi="Times New Roman" w:cs="Times New Roman"/>
                <w:b/>
                <w:bCs/>
                <w:iCs/>
                <w:sz w:val="24"/>
                <w:szCs w:val="24"/>
                <w:u w:val="single"/>
              </w:rPr>
              <w:t>của tháng</w:t>
            </w:r>
            <w:r w:rsidRPr="00AF7630">
              <w:rPr>
                <w:rFonts w:ascii="Times New Roman" w:eastAsia="Times New Roman" w:hAnsi="Times New Roman" w:cs="Times New Roman"/>
                <w:b/>
                <w:bCs/>
                <w:iCs/>
                <w:sz w:val="24"/>
                <w:szCs w:val="24"/>
              </w:rPr>
              <w:t>,</w:t>
            </w:r>
            <w:r w:rsidRPr="00AF7630">
              <w:rPr>
                <w:rFonts w:ascii="Times New Roman" w:eastAsia="Times New Roman" w:hAnsi="Times New Roman" w:cs="Times New Roman"/>
                <w:bCs/>
                <w:iCs/>
                <w:sz w:val="24"/>
                <w:szCs w:val="24"/>
              </w:rPr>
              <w:t> tổ chức tín dụng (trừ tổ chức tín dụng là hợp tác xã, tổ chức tài chính vi mô), chi nhánh ngân hàng nước ngoài căn cứ kết quả phân loại nợ đã được điều chỉnh theo nhóm nợ của danh sách khách hàng do CIC cung cấp theo quy định của Ngân hàng Nhà nước về phân loại tài sản có trong hoạt động của tổ chức tín dụng, chi nhánh ngân hàng nước ngoài để thực hiện trích lập dự phòng rủi ro </w:t>
            </w:r>
            <w:r w:rsidRPr="00AF7630">
              <w:rPr>
                <w:rFonts w:ascii="Times New Roman" w:eastAsia="Times New Roman" w:hAnsi="Times New Roman" w:cs="Times New Roman"/>
                <w:b/>
                <w:bCs/>
                <w:iCs/>
                <w:sz w:val="24"/>
                <w:szCs w:val="24"/>
              </w:rPr>
              <w:t>cho thời điểm cuối ngày cuối cùng của tháng trước liền kề</w:t>
            </w:r>
            <w:r w:rsidRPr="00AF7630">
              <w:rPr>
                <w:rFonts w:ascii="Times New Roman" w:eastAsia="Times New Roman" w:hAnsi="Times New Roman" w:cs="Times New Roman"/>
                <w:bCs/>
                <w:iCs/>
                <w:sz w:val="24"/>
                <w:szCs w:val="24"/>
              </w:rPr>
              <w:t>.”</w:t>
            </w:r>
          </w:p>
          <w:p w:rsidR="000D7FC4" w:rsidRPr="00AF7630" w:rsidRDefault="000D7FC4" w:rsidP="0001557F">
            <w:pPr>
              <w:rPr>
                <w:rFonts w:ascii="Times New Roman" w:eastAsia="Times New Roman" w:hAnsi="Times New Roman" w:cs="Times New Roman"/>
                <w:b/>
                <w:sz w:val="24"/>
                <w:szCs w:val="24"/>
              </w:rPr>
            </w:pPr>
            <w:r w:rsidRPr="00AF7630">
              <w:rPr>
                <w:rFonts w:ascii="Times New Roman" w:eastAsia="Times New Roman" w:hAnsi="Times New Roman" w:cs="Times New Roman"/>
                <w:bCs/>
                <w:iCs/>
                <w:sz w:val="24"/>
                <w:szCs w:val="24"/>
              </w:rPr>
              <w:t>Lý do: Nhằm kịp thời trích lập dự phòng đầy đủ, theo kết quả phân loại nợ đã được điều chỉnh theo nhóm nợ của danh sách khách hàng do CIC cung cấp của cùng thời điểm phân loại nợ.</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Shinhan VN</w:t>
            </w:r>
          </w:p>
        </w:tc>
        <w:tc>
          <w:tcPr>
            <w:tcW w:w="4677" w:type="dxa"/>
            <w:vMerge/>
          </w:tcPr>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69372A">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5.</w:t>
            </w:r>
            <w:r w:rsidRPr="00AF7630">
              <w:rPr>
                <w:rFonts w:ascii="Times New Roman" w:eastAsia="Times New Roman" w:hAnsi="Times New Roman" w:cs="Times New Roman"/>
                <w:sz w:val="24"/>
                <w:szCs w:val="24"/>
              </w:rPr>
              <w:t xml:space="preserve"> Kiến nghị Ngân hàng nhà nước bổ sung thêm Phương án thứ 3 đảm bảo dự phòng được trích kịp thời hơn và đồng nhất trong thực hiện giữa các tháng của quý.</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Phương án 3:</w:t>
            </w:r>
          </w:p>
          <w:p w:rsidR="000D7FC4" w:rsidRPr="00AF7630" w:rsidRDefault="000D7FC4" w:rsidP="0001557F">
            <w:pPr>
              <w:jc w:val="both"/>
              <w:rPr>
                <w:rFonts w:ascii="Times New Roman" w:eastAsia="Times New Roman" w:hAnsi="Times New Roman" w:cs="Times New Roman"/>
                <w:b/>
                <w:bCs/>
                <w:iCs/>
                <w:sz w:val="24"/>
                <w:szCs w:val="24"/>
              </w:rPr>
            </w:pPr>
            <w:r w:rsidRPr="00AF7630">
              <w:rPr>
                <w:rFonts w:ascii="Times New Roman" w:eastAsia="Times New Roman" w:hAnsi="Times New Roman" w:cs="Times New Roman"/>
                <w:sz w:val="24"/>
                <w:szCs w:val="24"/>
                <w:u w:val="single"/>
              </w:rPr>
              <w:t>Trong vòng 10 ngày làm việc đầu tiên của tháng</w:t>
            </w:r>
            <w:r w:rsidRPr="00AF7630">
              <w:rPr>
                <w:rFonts w:ascii="Times New Roman" w:eastAsia="Times New Roman" w:hAnsi="Times New Roman" w:cs="Times New Roman"/>
                <w:sz w:val="24"/>
                <w:szCs w:val="24"/>
              </w:rPr>
              <w:t xml:space="preserve">, trích dự </w:t>
            </w:r>
            <w:r w:rsidRPr="00AF7630">
              <w:rPr>
                <w:rFonts w:ascii="Times New Roman" w:eastAsia="Times New Roman" w:hAnsi="Times New Roman" w:cs="Times New Roman"/>
                <w:sz w:val="24"/>
                <w:szCs w:val="24"/>
              </w:rPr>
              <w:lastRenderedPageBreak/>
              <w:t>phòng theo kết quả phân loại nợ có tham chiếu nhóm nợ của CIC tháng đó.</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Ngân hàng UOB</w:t>
            </w:r>
          </w:p>
        </w:tc>
        <w:tc>
          <w:tcPr>
            <w:tcW w:w="4677" w:type="dxa"/>
            <w:vMerge/>
          </w:tcPr>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DC55F7">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5953" w:type="dxa"/>
            <w:vAlign w:val="center"/>
          </w:tcPr>
          <w:p w:rsidR="000D7FC4" w:rsidRPr="00AF7630" w:rsidRDefault="000D7FC4">
            <w:pPr>
              <w:pStyle w:val="table0020grid"/>
              <w:spacing w:before="0" w:beforeAutospacing="0" w:after="0" w:afterAutospacing="0"/>
              <w:ind w:left="100" w:right="100"/>
              <w:jc w:val="both"/>
              <w:rPr>
                <w:rStyle w:val="table0020gridchar"/>
              </w:rPr>
            </w:pPr>
            <w:r w:rsidRPr="00AF7630">
              <w:rPr>
                <w:rStyle w:val="table0020gridchar"/>
              </w:rPr>
              <w:t>TCTD có được điều chỉnh phương án lựa chọn không?</w:t>
            </w:r>
          </w:p>
          <w:p w:rsidR="000D7FC4" w:rsidRPr="00AF7630" w:rsidRDefault="000D7FC4">
            <w:pPr>
              <w:pStyle w:val="table0020grid"/>
              <w:spacing w:before="0" w:beforeAutospacing="0" w:after="0" w:afterAutospacing="0"/>
              <w:ind w:left="100" w:right="100"/>
              <w:jc w:val="both"/>
            </w:pPr>
            <w:r w:rsidRPr="00AF7630">
              <w:rPr>
                <w:rStyle w:val="table0020gridchar"/>
              </w:rPr>
              <w:t>Theo 2 phương án tại DTNĐ và DTTT, trong 5 ngày làm việc đầu tiên, tổ chức tín dụng (TCTD) vừa thực hiện phân loại nợ, vừa tính trích lập dự phòng rủi ro (PA1 trích theo kết quả tự phân loại nợ, PA2 trích theo kết quả tự phân loại nợ và nhóm nợ CIC kỳ trước). Đối với tháng làm phân loại nợ quý, TCTD sau khi nhận thông tin nhóm nợ có độ rủi ro cao hơn tại TCTD khác sẽ điều chỉnh nhóm nợ và trích DPRR theo CIC.</w:t>
            </w:r>
          </w:p>
          <w:p w:rsidR="000D7FC4" w:rsidRPr="00AF7630" w:rsidRDefault="000D7FC4">
            <w:pPr>
              <w:pStyle w:val="table0020grid"/>
              <w:spacing w:before="0" w:beforeAutospacing="0" w:after="0" w:afterAutospacing="0"/>
              <w:ind w:left="100" w:right="100"/>
              <w:jc w:val="both"/>
            </w:pPr>
            <w:r w:rsidRPr="00AF7630">
              <w:rPr>
                <w:rStyle w:val="table0020gridchar"/>
              </w:rPr>
              <w:t>Như vậy, đối với tháng làm phân loại nợ quý, TCTD cần trích lập 2 lần. Đối với tháng không làm phân loại nợ quý, nhóm nợ cuối cùng là nhóm nợ sau CIC, không khớp với nhóm nợ được trích lập DPRR của tháng đó (dự phòng rủi ro trích lập theo nhóm nợ tự phân loại tại PA1 hoặc nhóm nợ cao hơn khi so sánh nhóm nợ tự phân loại và CIC kỳ trước tại PA2)</w:t>
            </w:r>
          </w:p>
          <w:p w:rsidR="000D7FC4" w:rsidRPr="00AF7630" w:rsidRDefault="000D7FC4">
            <w:pPr>
              <w:pStyle w:val="table0020grid"/>
              <w:spacing w:before="0" w:beforeAutospacing="0" w:after="0" w:afterAutospacing="0"/>
              <w:ind w:left="100" w:right="100"/>
              <w:jc w:val="both"/>
            </w:pPr>
            <w:r w:rsidRPr="00AF7630">
              <w:rPr>
                <w:rStyle w:val="table0020gridchar"/>
              </w:rPr>
              <w:t>Để khắc phục hạn chế trên, BIDV đề xuất phương án:</w:t>
            </w:r>
          </w:p>
          <w:p w:rsidR="000D7FC4" w:rsidRPr="00AF7630" w:rsidRDefault="000D7FC4">
            <w:pPr>
              <w:pStyle w:val="table0020grid"/>
              <w:spacing w:before="0" w:beforeAutospacing="0" w:after="0" w:afterAutospacing="0"/>
              <w:ind w:left="100" w:right="100"/>
              <w:jc w:val="both"/>
            </w:pPr>
            <w:r w:rsidRPr="00AF7630">
              <w:rPr>
                <w:rStyle w:val="table0020gridchar"/>
              </w:rPr>
              <w:t>- TCTD tự phân loại nợ (trong 05 ngày làm việc đầu tiên của tháng)</w:t>
            </w:r>
          </w:p>
          <w:p w:rsidR="000D7FC4" w:rsidRPr="00AF7630" w:rsidRDefault="000D7FC4">
            <w:pPr>
              <w:pStyle w:val="table0020grid"/>
              <w:spacing w:before="0" w:beforeAutospacing="0" w:after="0" w:afterAutospacing="0"/>
              <w:ind w:left="100" w:right="100"/>
              <w:jc w:val="both"/>
            </w:pPr>
            <w:r w:rsidRPr="00AF7630">
              <w:rPr>
                <w:rStyle w:val="table0020gridchar"/>
              </w:rPr>
              <w:t>- CIC tổng hợp danh sách khách hàng theo nhóm nợ có mức độ rủi ro cao nhất và cung cấp cho tổ chức tín dụng (trong 3 ngày làm việc tiếp theo)</w:t>
            </w:r>
          </w:p>
          <w:p w:rsidR="000D7FC4" w:rsidRPr="00AF7630" w:rsidRDefault="000D7FC4">
            <w:pPr>
              <w:pStyle w:val="table0020grid"/>
              <w:spacing w:before="0" w:beforeAutospacing="0" w:after="0" w:afterAutospacing="0"/>
              <w:ind w:left="100" w:right="100"/>
              <w:jc w:val="both"/>
            </w:pPr>
            <w:r w:rsidRPr="00AF7630">
              <w:rPr>
                <w:rStyle w:val="table0020gridchar"/>
              </w:rPr>
              <w:t>- TCTD điều chỉnh nhóm nợ theo CIC và tính trích lập DPRR theo kết quả PLN sau CIC (trong thời hạn 02 ngày làm việc)</w:t>
            </w:r>
          </w:p>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Cs/>
                <w:iCs/>
                <w:sz w:val="24"/>
                <w:szCs w:val="24"/>
              </w:rPr>
              <w:t xml:space="preserve">T TCTD điều chỉnh nhóm nợ theo </w:t>
            </w:r>
          </w:p>
        </w:tc>
        <w:tc>
          <w:tcPr>
            <w:tcW w:w="2268" w:type="dxa"/>
          </w:tcPr>
          <w:p w:rsidR="000D7FC4" w:rsidRPr="00AF7630" w:rsidRDefault="000D7FC4"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BIDV</w:t>
            </w:r>
          </w:p>
        </w:tc>
        <w:tc>
          <w:tcPr>
            <w:tcW w:w="4677" w:type="dxa"/>
            <w:vMerge/>
          </w:tcPr>
          <w:p w:rsidR="000D7FC4" w:rsidRPr="00AF7630" w:rsidRDefault="000D7FC4" w:rsidP="0001557F">
            <w:pPr>
              <w:jc w:val="both"/>
              <w:rPr>
                <w:rFonts w:ascii="Times New Roman" w:eastAsia="Times New Roman" w:hAnsi="Times New Roman" w:cs="Times New Roman"/>
                <w:sz w:val="24"/>
                <w:szCs w:val="24"/>
              </w:rPr>
            </w:pPr>
          </w:p>
        </w:tc>
      </w:tr>
      <w:tr w:rsidR="000D7FC4" w:rsidRPr="00AF7630" w:rsidTr="00DC00FB">
        <w:tc>
          <w:tcPr>
            <w:tcW w:w="2978" w:type="dxa"/>
            <w:vMerge/>
          </w:tcPr>
          <w:p w:rsidR="000D7FC4" w:rsidRPr="00AF7630" w:rsidRDefault="000D7FC4" w:rsidP="0001557F">
            <w:pPr>
              <w:jc w:val="both"/>
              <w:rPr>
                <w:rFonts w:ascii="Times New Roman" w:eastAsia="Times New Roman" w:hAnsi="Times New Roman" w:cs="Times New Roman"/>
                <w:sz w:val="24"/>
                <w:szCs w:val="24"/>
              </w:rPr>
            </w:pPr>
          </w:p>
        </w:tc>
        <w:tc>
          <w:tcPr>
            <w:tcW w:w="12898" w:type="dxa"/>
            <w:gridSpan w:val="3"/>
          </w:tcPr>
          <w:p w:rsidR="000D7FC4" w:rsidRPr="00AF7630" w:rsidRDefault="000D7FC4">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bCs/>
                <w:iCs/>
                <w:sz w:val="24"/>
                <w:szCs w:val="24"/>
              </w:rPr>
              <w:t>Nhóm ý kiến đề xuất cho phép TCTD lựa chọn một trong hai cách thức thực hiện trích lập dự phòng rủi ro (</w:t>
            </w:r>
            <w:r w:rsidR="00B46ECB">
              <w:rPr>
                <w:rFonts w:ascii="Times New Roman" w:eastAsia="Times New Roman" w:hAnsi="Times New Roman" w:cs="Times New Roman"/>
                <w:b/>
                <w:bCs/>
                <w:iCs/>
                <w:sz w:val="24"/>
                <w:szCs w:val="24"/>
              </w:rPr>
              <w:t>3</w:t>
            </w:r>
            <w:r w:rsidRPr="00AF7630">
              <w:rPr>
                <w:rFonts w:ascii="Times New Roman" w:eastAsia="Times New Roman" w:hAnsi="Times New Roman" w:cs="Times New Roman"/>
                <w:b/>
                <w:bCs/>
                <w:iCs/>
                <w:sz w:val="24"/>
                <w:szCs w:val="24"/>
              </w:rPr>
              <w:t xml:space="preserve"> ý kiến)</w:t>
            </w:r>
          </w:p>
        </w:tc>
      </w:tr>
      <w:tr w:rsidR="00C5008E" w:rsidRPr="00AF7630" w:rsidTr="001E5890">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rsidP="00D67837">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Cs/>
                <w:sz w:val="24"/>
                <w:szCs w:val="24"/>
              </w:rPr>
              <w:t>Đề nghị quy định theo hướng định kỳ hàng tháng</w:t>
            </w: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TCTD/CNNHNNg</w:t>
            </w: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 xml:space="preserve">có thể lựa chọn 1 trong 2 phương án </w:t>
            </w:r>
            <w:r w:rsidRPr="00AF7630">
              <w:rPr>
                <w:rFonts w:ascii="Times New Roman" w:eastAsia="Times New Roman" w:hAnsi="Times New Roman" w:cs="Times New Roman"/>
                <w:sz w:val="24"/>
                <w:szCs w:val="24"/>
              </w:rPr>
              <w:t>để thực hiện trích lập dự phòng rủi ro cho thời điểm cuối ngày cuối cùng của tháng trước liền kề </w:t>
            </w:r>
            <w:r w:rsidRPr="00AF7630">
              <w:rPr>
                <w:rFonts w:ascii="Times New Roman" w:eastAsia="Times New Roman" w:hAnsi="Times New Roman" w:cs="Times New Roman"/>
                <w:b/>
                <w:sz w:val="24"/>
                <w:szCs w:val="24"/>
              </w:rPr>
              <w:t>nhưng phải ban hành quy định nội bộ để thực hiện 1 cách nhất quán &amp; xuyên suốt.</w:t>
            </w:r>
          </w:p>
          <w:p w:rsidR="00C5008E" w:rsidRPr="00AF7630" w:rsidRDefault="00C5008E" w:rsidP="00D6783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Lý do: - TCTD/CNNHNNg (gọi tắt TCTD) có thể chủ động lựa chọn thực hiện để phù hợp nhu cầu quản </w:t>
            </w:r>
            <w:r w:rsidRPr="00AF7630">
              <w:rPr>
                <w:rFonts w:ascii="Times New Roman" w:eastAsia="Times New Roman" w:hAnsi="Times New Roman" w:cs="Times New Roman"/>
                <w:sz w:val="24"/>
                <w:szCs w:val="24"/>
              </w:rPr>
              <w:lastRenderedPageBreak/>
              <w:t>trị điều hành của đơn vị nhưng phải thực hiện nhất quán.</w:t>
            </w:r>
          </w:p>
          <w:p w:rsidR="00C5008E" w:rsidRPr="00AF7630" w:rsidRDefault="00C5008E" w:rsidP="00D67837">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Đối với báo cáo quý áp dụng đồng bộ nhất quán cho tất cả các TCTD </w:t>
            </w:r>
            <w:r w:rsidRPr="00AF7630">
              <w:rPr>
                <w:rFonts w:ascii="Times New Roman" w:eastAsia="Times New Roman" w:hAnsi="Times New Roman" w:cs="Times New Roman"/>
                <w:sz w:val="24"/>
                <w:szCs w:val="24"/>
              </w:rPr>
              <w:sym w:font="Wingdings" w:char="F0E8"/>
            </w:r>
            <w:r w:rsidRPr="00AF7630">
              <w:rPr>
                <w:rFonts w:ascii="Times New Roman" w:eastAsia="Times New Roman" w:hAnsi="Times New Roman" w:cs="Times New Roman"/>
                <w:sz w:val="24"/>
                <w:szCs w:val="24"/>
              </w:rPr>
              <w:t> số liệu BCTC các đơn vị đồng nhất </w:t>
            </w:r>
            <w:r w:rsidRPr="00AF7630">
              <w:rPr>
                <w:rFonts w:ascii="Times New Roman" w:eastAsia="Times New Roman" w:hAnsi="Times New Roman" w:cs="Times New Roman"/>
                <w:sz w:val="24"/>
                <w:szCs w:val="24"/>
              </w:rPr>
              <w:sym w:font="Wingdings" w:char="F0E8"/>
            </w:r>
            <w:r w:rsidRPr="00AF7630">
              <w:rPr>
                <w:rFonts w:ascii="Times New Roman" w:eastAsia="Times New Roman" w:hAnsi="Times New Roman" w:cs="Times New Roman"/>
                <w:sz w:val="24"/>
                <w:szCs w:val="24"/>
              </w:rPr>
              <w:t> có thể so sánh BCTC giữa các TCTD.</w:t>
            </w:r>
          </w:p>
          <w:p w:rsidR="00C5008E" w:rsidRPr="00AF7630" w:rsidRDefault="00C5008E" w:rsidP="0001557F">
            <w:pPr>
              <w:pStyle w:val="table0020grid"/>
              <w:spacing w:before="0" w:beforeAutospacing="0" w:after="0" w:afterAutospacing="0"/>
              <w:ind w:right="100"/>
              <w:jc w:val="both"/>
              <w:rPr>
                <w:b/>
              </w:rPr>
            </w:pPr>
            <w:r w:rsidRPr="00AF7630">
              <w:t>-     Việc hạch toán vẫn đúng với bản chất TN/CP ghi nhận trong năm tài chính.</w:t>
            </w:r>
          </w:p>
        </w:tc>
        <w:tc>
          <w:tcPr>
            <w:tcW w:w="2268" w:type="dxa"/>
          </w:tcPr>
          <w:p w:rsidR="00C5008E" w:rsidRPr="00AF7630" w:rsidRDefault="00B46ECB" w:rsidP="0001557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Indovina Bank</w:t>
            </w:r>
          </w:p>
        </w:tc>
        <w:tc>
          <w:tcPr>
            <w:tcW w:w="4677" w:type="dxa"/>
            <w:vMerge w:val="restart"/>
          </w:tcPr>
          <w:p w:rsidR="00C5008E" w:rsidRPr="00AF7630" w:rsidRDefault="00C5008E"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Việc trích lập dự phòng rủi ro liên quan đến các quy định về cơ chế tài chính, tài chính, kế toán nên cần được thống nhất thực hiện, không thể để các TCTD lựa chọn thực hiện 1 trong 2 phương án.</w:t>
            </w:r>
          </w:p>
        </w:tc>
      </w:tr>
      <w:tr w:rsidR="00C5008E" w:rsidRPr="00AF7630" w:rsidTr="001E5890">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NHTM sẽ lựa chọn và đăng ký phương án trích lập dự phòng rủi ro ngay từ đầu hay có thể linh hoạt thay phương án?</w:t>
            </w:r>
          </w:p>
          <w:p w:rsidR="00C5008E" w:rsidRPr="00AF7630" w:rsidRDefault="00C5008E">
            <w:pPr>
              <w:pStyle w:val="table0020grid"/>
              <w:spacing w:before="0" w:beforeAutospacing="0" w:after="0" w:afterAutospacing="0"/>
              <w:ind w:left="100" w:right="100"/>
              <w:jc w:val="both"/>
              <w:rPr>
                <w:b/>
              </w:rPr>
            </w:pPr>
            <w:r w:rsidRPr="00AF7630">
              <w:t>=&gt; Đề nghị ĐVST xem xét bổ sung cách thức lựa chọn và hình thức quản lý.</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NH TMCP Bắc Á</w:t>
            </w:r>
          </w:p>
        </w:tc>
        <w:tc>
          <w:tcPr>
            <w:tcW w:w="4677" w:type="dxa"/>
            <w:vMerge/>
          </w:tcPr>
          <w:p w:rsidR="00C5008E" w:rsidRPr="00AF7630" w:rsidRDefault="00C5008E" w:rsidP="0001557F">
            <w:pPr>
              <w:jc w:val="both"/>
              <w:rPr>
                <w:rFonts w:ascii="Times New Roman" w:eastAsia="Times New Roman" w:hAnsi="Times New Roman" w:cs="Times New Roman"/>
                <w:sz w:val="24"/>
                <w:szCs w:val="24"/>
              </w:rPr>
            </w:pPr>
          </w:p>
        </w:tc>
      </w:tr>
      <w:tr w:rsidR="00C5008E" w:rsidRPr="00AF7630" w:rsidTr="001E5890">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pPr>
              <w:pStyle w:val="table0020grid"/>
              <w:spacing w:before="0" w:beforeAutospacing="0" w:after="0" w:afterAutospacing="0"/>
              <w:ind w:left="100" w:right="100"/>
              <w:jc w:val="both"/>
              <w:rPr>
                <w:b/>
              </w:rPr>
            </w:pPr>
            <w:r w:rsidRPr="00AF7630">
              <w:rPr>
                <w:rStyle w:val="table0020gridchar"/>
              </w:rPr>
              <w:t>Làm rõ TCTD, Chi nhánh NHNN được chủ động lựa chọn 1 trong 2 phương án hay không?</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BIDV</w:t>
            </w:r>
          </w:p>
        </w:tc>
        <w:tc>
          <w:tcPr>
            <w:tcW w:w="4677" w:type="dxa"/>
            <w:vMerge/>
          </w:tcPr>
          <w:p w:rsidR="00C5008E" w:rsidRPr="00AF7630" w:rsidRDefault="00C5008E" w:rsidP="0001557F">
            <w:pPr>
              <w:jc w:val="both"/>
              <w:rPr>
                <w:rFonts w:ascii="Times New Roman" w:eastAsia="Times New Roman" w:hAnsi="Times New Roman" w:cs="Times New Roman"/>
                <w:sz w:val="24"/>
                <w:szCs w:val="24"/>
              </w:rPr>
            </w:pP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12898" w:type="dxa"/>
            <w:gridSpan w:val="3"/>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Ý kiến khác (</w:t>
            </w:r>
            <w:r w:rsidR="00A560D6">
              <w:rPr>
                <w:rFonts w:ascii="Times New Roman" w:eastAsia="Times New Roman" w:hAnsi="Times New Roman" w:cs="Times New Roman"/>
                <w:b/>
                <w:sz w:val="24"/>
                <w:szCs w:val="24"/>
              </w:rPr>
              <w:t>4</w:t>
            </w:r>
            <w:r w:rsidRPr="00AF7630">
              <w:rPr>
                <w:rFonts w:ascii="Times New Roman" w:eastAsia="Times New Roman" w:hAnsi="Times New Roman" w:cs="Times New Roman"/>
                <w:b/>
                <w:sz w:val="24"/>
                <w:szCs w:val="24"/>
              </w:rPr>
              <w:t xml:space="preserve"> ý kiến)</w:t>
            </w: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rsidP="0001557F">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sidRPr="00AF7630">
              <w:rPr>
                <w:rFonts w:ascii="Times New Roman" w:eastAsia="Times New Roman" w:hAnsi="Times New Roman" w:cs="Times New Roman"/>
                <w:b/>
                <w:sz w:val="24"/>
                <w:szCs w:val="24"/>
              </w:rPr>
              <w:t xml:space="preserve">. </w:t>
            </w:r>
            <w:r w:rsidRPr="00AF7630">
              <w:rPr>
                <w:rFonts w:ascii="Times New Roman" w:eastAsia="Times New Roman" w:hAnsi="Times New Roman" w:cs="Times New Roman"/>
                <w:b/>
                <w:bCs/>
                <w:sz w:val="24"/>
                <w:szCs w:val="24"/>
              </w:rPr>
              <w:t>Góp ý về việc hạch toán trích lập dự phòng</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 Dự phòng hàng tháng (T1 – T11): thực hiện hạch toán vào tháng tiếp theo, và ghi nhận vào TK Thu nhập/ Chi phí.</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Dự phòng T12, thực hiện hạch toán vào Tháng 1 năm sau, và ghi nhận vào TK Lợi nhuận năm trước </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Lý do:  </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Thu nhập/ Chi phí tại thời điểm 31/12 đã được kết chuyển vào TK Lợi nhuận, do đó khi thực hiện hạch toán trích lập DP T12 vào T1 năm sau thì lấy từ Lợi nhuận năm trước, không lấy TN/CP của năm sau.</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Theo hướng dẫn hiện hành của NHNN, Khi lập BCTC, TCTD thực hiện điều chỉnh dự phòng theo kết quả phân loại nợ sau CIC của các tháng 3,6,9,12 vào BCTC quý 1,2,3,4 tương ứng </w:t>
            </w:r>
            <w:r w:rsidRPr="00AF7630">
              <w:rPr>
                <w:rFonts w:ascii="Times New Roman" w:eastAsia="Times New Roman" w:hAnsi="Times New Roman" w:cs="Times New Roman"/>
                <w:sz w:val="24"/>
                <w:szCs w:val="24"/>
              </w:rPr>
              <w:sym w:font="Wingdings" w:char="F0E8"/>
            </w:r>
            <w:r w:rsidRPr="00AF7630">
              <w:rPr>
                <w:rFonts w:ascii="Times New Roman" w:eastAsia="Times New Roman" w:hAnsi="Times New Roman" w:cs="Times New Roman"/>
                <w:sz w:val="24"/>
                <w:szCs w:val="24"/>
              </w:rPr>
              <w:t> BCTC khớp với Báo cáo phân loại nợ trích lập dự phòng.</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Indovina Bank</w:t>
            </w:r>
            <w:r w:rsidRPr="00AF7630" w:rsidDel="004446AD">
              <w:rPr>
                <w:rFonts w:ascii="Times New Roman" w:eastAsia="Times New Roman" w:hAnsi="Times New Roman" w:cs="Times New Roman"/>
                <w:sz w:val="24"/>
                <w:szCs w:val="24"/>
              </w:rPr>
              <w:t xml:space="preserve"> </w:t>
            </w:r>
          </w:p>
        </w:tc>
        <w:tc>
          <w:tcPr>
            <w:tcW w:w="4677"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sửa theo hướng lựa chọn Phương án 2, trong đó TCTD thực hiện trích lập 2 lần đối với các tháng cuối quý (tự trích trong 05 ngày đầu tiên của tháng và có điều chỉnh theo CIC trong 10 ngày đầu tiên của tháng để thể hiện trên Báo cáo tài chính).</w:t>
            </w: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rsidP="0001557F">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Pr="00AF7630">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w:t>
            </w:r>
            <w:r w:rsidRPr="00AF7630">
              <w:rPr>
                <w:rFonts w:ascii="Times New Roman" w:eastAsia="Times New Roman" w:hAnsi="Times New Roman" w:cs="Times New Roman"/>
                <w:sz w:val="24"/>
                <w:szCs w:val="24"/>
              </w:rPr>
              <w:t xml:space="preserve">  Trong Nghị định chưa có nội dung quy định về thời gian các Tổ chức tín dụng, chi nhánh ngân hàng nước ngoài gửi kết quả tự phân loại nợ theo quy định của Ngân hàng Nhà nước về cho CIC và thời gian CIC sẽ gửi kết quả phân loại nợ đã được điều chỉnh theo nhóm nợ của danh sách khách hàng về cho các tổ chức tín dụng và ngân hàng nước ngoài. Vậy thì cơ sở nào để giới hạn thời gian thực hiện trích lập dự phòng rủi ro là 10 ngày làm việc đầu tiên </w:t>
            </w:r>
            <w:r w:rsidRPr="00AF7630">
              <w:rPr>
                <w:rFonts w:ascii="Times New Roman" w:eastAsia="Times New Roman" w:hAnsi="Times New Roman" w:cs="Times New Roman"/>
                <w:sz w:val="24"/>
                <w:szCs w:val="24"/>
              </w:rPr>
              <w:lastRenderedPageBreak/>
              <w:t>của tháng đầu tiên của quý?</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Thực tế hiện nay, ngày 12 hàng tháng, CIC mới gửi kết quả phân loại nợ đã được điều chỉnh theo nhóm nợ của danh sách khách hàng về cho các tổ chức tín dụng và ngân hàng nước ngoài. Vậy trong 10 ngày làm việc đầu tiên của tháng TCTD và chi nhánh ngân hàng nước ngoài có kịp trích lập dự phòng rủi ro và gửi báo cáo về NHNN không?</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=&gt; Đề nghị ĐVST xem xét lại nội dung này.</w:t>
            </w:r>
          </w:p>
          <w:p w:rsidR="00C5008E" w:rsidRPr="00AF7630" w:rsidRDefault="00C5008E"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2</w:t>
            </w:r>
            <w:r w:rsidRPr="00AF7630">
              <w:rPr>
                <w:rFonts w:ascii="Times New Roman" w:eastAsia="Times New Roman" w:hAnsi="Times New Roman" w:cs="Times New Roman"/>
                <w:sz w:val="24"/>
                <w:szCs w:val="24"/>
              </w:rPr>
              <w:t xml:space="preserve"> Theo nội dung cũ quy định tại thông tư 11 “</w:t>
            </w:r>
            <w:r w:rsidRPr="00AF7630">
              <w:rPr>
                <w:rFonts w:ascii="Times New Roman" w:eastAsia="Times New Roman" w:hAnsi="Times New Roman" w:cs="Times New Roman"/>
                <w:b/>
                <w:bCs/>
                <w:i/>
                <w:iCs/>
                <w:sz w:val="24"/>
                <w:szCs w:val="24"/>
              </w:rPr>
              <w:t>Ít nhất mỗi tháng một lần</w:t>
            </w:r>
            <w:r w:rsidRPr="00AF7630">
              <w:rPr>
                <w:rFonts w:ascii="Times New Roman" w:eastAsia="Times New Roman" w:hAnsi="Times New Roman" w:cs="Times New Roman"/>
                <w:i/>
                <w:iCs/>
                <w:sz w:val="24"/>
                <w:szCs w:val="24"/>
              </w:rPr>
              <w:t>, trong 07 (bảy) ngày đầu tiên của tháng, tổ chức tín dụng, chi nhánh ngân hàng nước ngoài căn cứ quy định tại khoản 5 Điều 1, Điều 9, Điều 10, Điều 11, Điều 12, Điều 13 Thông tư này tự thực hiện phân loại nợ, cam kết ngoại bảng.</w:t>
            </w:r>
            <w:r w:rsidRPr="00AF7630">
              <w:rPr>
                <w:rFonts w:ascii="Times New Roman" w:eastAsia="Times New Roman" w:hAnsi="Times New Roman" w:cs="Times New Roman"/>
                <w:sz w:val="24"/>
                <w:szCs w:val="24"/>
              </w:rPr>
              <w:t>.” trong khi Dự thảo mới không đề cập đến vấn đề này. Theo nội dung dự thảo thì BAC A BANK đang hiểu là việc trích lập DPRR là bắt buộc và phải được ghi nhận hàng tháng. Vì vậy, để rõ rang, đề nghị ĐVST quy định rõ thời gian TCTD phải thực hiện hoạt động trích lập DPRR, tránh tình trạng TCTD có nhiều cách hiểu khác nhau.</w:t>
            </w:r>
            <w:r w:rsidRPr="00AF7630" w:rsidDel="004446AD">
              <w:rPr>
                <w:rFonts w:ascii="Times New Roman" w:eastAsia="Times New Roman" w:hAnsi="Times New Roman" w:cs="Times New Roman"/>
                <w:b/>
                <w:sz w:val="24"/>
                <w:szCs w:val="24"/>
              </w:rPr>
              <w:t xml:space="preserve"> </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NH TMCP Bắc Á</w:t>
            </w:r>
            <w:r w:rsidRPr="00AF7630" w:rsidDel="004446AD">
              <w:rPr>
                <w:rFonts w:ascii="Times New Roman" w:eastAsia="Times New Roman" w:hAnsi="Times New Roman" w:cs="Times New Roman"/>
                <w:sz w:val="24"/>
                <w:szCs w:val="24"/>
              </w:rPr>
              <w:t xml:space="preserve"> </w:t>
            </w:r>
          </w:p>
        </w:tc>
        <w:tc>
          <w:tcPr>
            <w:tcW w:w="4677"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Nội dung 1:</w:t>
            </w:r>
            <w:r w:rsidRPr="00AF7630">
              <w:rPr>
                <w:rFonts w:ascii="Times New Roman" w:eastAsia="Times New Roman" w:hAnsi="Times New Roman" w:cs="Times New Roman"/>
                <w:sz w:val="24"/>
                <w:szCs w:val="24"/>
              </w:rPr>
              <w:t xml:space="preserve"> Đã có quy định tại dự thảo Thông tư. Trong 10 ngày làm việc (bao gồm cả thứ 7, chủ nhật là 14 ngày) như vậy kể cả khi CIC gửi vào ngày 12 hàng tháng thì TCTD vẫn có thể thực hiện được.</w:t>
            </w:r>
          </w:p>
          <w:p w:rsidR="00C5008E" w:rsidRPr="00AF7630" w:rsidRDefault="00C5008E"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 xml:space="preserve">Nội dung 2: </w:t>
            </w:r>
            <w:r w:rsidRPr="00AF7630">
              <w:rPr>
                <w:rFonts w:ascii="Times New Roman" w:eastAsia="Times New Roman" w:hAnsi="Times New Roman" w:cs="Times New Roman"/>
                <w:sz w:val="24"/>
                <w:szCs w:val="24"/>
              </w:rPr>
              <w:t xml:space="preserve">NHNN đã quy định thống nhất giữa dự thảo Thông tư và dự thảo Nghị định về thời điểm phân loại nợ, trích lập dự phòng </w:t>
            </w:r>
            <w:r w:rsidRPr="00AF7630">
              <w:rPr>
                <w:rFonts w:ascii="Times New Roman" w:eastAsia="Times New Roman" w:hAnsi="Times New Roman" w:cs="Times New Roman"/>
                <w:sz w:val="24"/>
                <w:szCs w:val="24"/>
              </w:rPr>
              <w:lastRenderedPageBreak/>
              <w:t>rủi ro.</w:t>
            </w:r>
          </w:p>
          <w:p w:rsidR="00C5008E" w:rsidRPr="00AF7630" w:rsidRDefault="00C5008E" w:rsidP="0001557F">
            <w:pPr>
              <w:jc w:val="both"/>
              <w:rPr>
                <w:rFonts w:ascii="Times New Roman" w:eastAsia="Times New Roman" w:hAnsi="Times New Roman" w:cs="Times New Roman"/>
                <w:sz w:val="24"/>
                <w:szCs w:val="24"/>
              </w:rPr>
            </w:pP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A560D6" w:rsidP="0001557F">
            <w:pPr>
              <w:jc w:val="both"/>
              <w:rPr>
                <w:rFonts w:ascii="Times New Roman" w:eastAsia="Times New Roman" w:hAnsi="Times New Roman" w:cs="Times New Roman"/>
                <w:bCs/>
                <w:sz w:val="24"/>
                <w:szCs w:val="24"/>
              </w:rPr>
            </w:pPr>
            <w:r>
              <w:rPr>
                <w:rFonts w:ascii="Times New Roman" w:hAnsi="Times New Roman" w:cs="Times New Roman"/>
                <w:b/>
                <w:bCs/>
                <w:sz w:val="24"/>
                <w:szCs w:val="24"/>
              </w:rPr>
              <w:t>3</w:t>
            </w:r>
            <w:r w:rsidR="00C5008E" w:rsidRPr="00AF7630">
              <w:rPr>
                <w:rFonts w:ascii="Times New Roman" w:hAnsi="Times New Roman" w:cs="Times New Roman"/>
                <w:b/>
                <w:bCs/>
                <w:sz w:val="24"/>
                <w:szCs w:val="24"/>
              </w:rPr>
              <w:t>.</w:t>
            </w:r>
            <w:r w:rsidR="00C5008E" w:rsidRPr="00AF7630">
              <w:rPr>
                <w:rFonts w:ascii="Times New Roman" w:hAnsi="Times New Roman" w:cs="Times New Roman"/>
                <w:bCs/>
                <w:sz w:val="24"/>
                <w:szCs w:val="24"/>
              </w:rPr>
              <w:t xml:space="preserve"> </w:t>
            </w:r>
            <w:r w:rsidR="00C5008E" w:rsidRPr="00AF7630">
              <w:rPr>
                <w:rFonts w:ascii="Times New Roman" w:hAnsi="Times New Roman" w:cs="Times New Roman"/>
                <w:bCs/>
                <w:sz w:val="24"/>
                <w:szCs w:val="24"/>
                <w:lang w:val="vi-VN"/>
              </w:rPr>
              <w:t>Theo Công văn số 589/TTTD-NHNN quy định thời gian truyền CIC và cập nhật kết quả CIC không có đơn vị "Ngày làm việc", dự thảo nghị định đưa đơn vị ngày làm việc vào có đồng nhất với các văn bản đã ban hành không? Kính đề nghị NHNN làm rõ nội dung này.</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hAnsi="Times New Roman" w:cs="Times New Roman"/>
                <w:bCs/>
                <w:sz w:val="24"/>
                <w:szCs w:val="24"/>
                <w:lang w:val="vi-VN"/>
              </w:rPr>
              <w:t>Ngân hàng TMCP Quốc t</w:t>
            </w:r>
            <w:r w:rsidRPr="00AF7630">
              <w:rPr>
                <w:rFonts w:ascii="Times New Roman" w:hAnsi="Times New Roman" w:cs="Times New Roman"/>
                <w:bCs/>
                <w:sz w:val="24"/>
                <w:szCs w:val="24"/>
              </w:rPr>
              <w:t>ế</w:t>
            </w:r>
          </w:p>
          <w:p w:rsidR="00C5008E" w:rsidRPr="00AF7630" w:rsidRDefault="00C5008E" w:rsidP="0001557F">
            <w:pPr>
              <w:jc w:val="both"/>
              <w:rPr>
                <w:rFonts w:ascii="Times New Roman" w:eastAsia="Times New Roman" w:hAnsi="Times New Roman" w:cs="Times New Roman"/>
                <w:sz w:val="24"/>
                <w:szCs w:val="24"/>
              </w:rPr>
            </w:pPr>
          </w:p>
          <w:p w:rsidR="00C5008E" w:rsidRPr="00AF7630" w:rsidRDefault="00C5008E" w:rsidP="0001557F">
            <w:pPr>
              <w:tabs>
                <w:tab w:val="left" w:pos="720"/>
              </w:tabs>
              <w:contextualSpacing/>
              <w:jc w:val="both"/>
              <w:rPr>
                <w:rFonts w:ascii="Times New Roman" w:eastAsia="Times New Roman" w:hAnsi="Times New Roman" w:cs="Times New Roman"/>
                <w:sz w:val="24"/>
                <w:szCs w:val="24"/>
              </w:rPr>
            </w:pPr>
          </w:p>
        </w:tc>
        <w:tc>
          <w:tcPr>
            <w:tcW w:w="4677"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Trên thực tế có những thời điểm nghỉ lễ tết dài, việc để đơn vị thời gian là ngày sẽ không đủ thời gian để các TCTD thực hiện. Do vậy, NHNN đã chỉnh sửa thành ngày làm việc. Đồng thời đã rà soát để đảm bảo phù hợp với với các quy định khác.</w:t>
            </w: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3C4AEB" w:rsidRDefault="00A560D6" w:rsidP="0001557F">
            <w:pPr>
              <w:rPr>
                <w:rFonts w:ascii="Times New Roman" w:eastAsia="Times New Roman" w:hAnsi="Times New Roman" w:cs="Times New Roman"/>
                <w:sz w:val="24"/>
                <w:szCs w:val="24"/>
              </w:rPr>
            </w:pPr>
            <w:r w:rsidRPr="003C4AEB">
              <w:rPr>
                <w:rFonts w:ascii="Times New Roman" w:eastAsia="Times New Roman" w:hAnsi="Times New Roman" w:cs="Times New Roman"/>
                <w:b/>
                <w:sz w:val="24"/>
                <w:szCs w:val="24"/>
              </w:rPr>
              <w:t>4</w:t>
            </w:r>
            <w:r w:rsidR="00C5008E" w:rsidRPr="003C4AEB">
              <w:rPr>
                <w:rFonts w:ascii="Times New Roman" w:eastAsia="Times New Roman" w:hAnsi="Times New Roman" w:cs="Times New Roman"/>
                <w:b/>
                <w:sz w:val="24"/>
                <w:szCs w:val="24"/>
              </w:rPr>
              <w:t>.</w:t>
            </w:r>
            <w:r w:rsidR="002C733D" w:rsidRPr="003C4AEB">
              <w:rPr>
                <w:rFonts w:ascii="Times New Roman" w:eastAsia="Times New Roman" w:hAnsi="Times New Roman" w:cs="Times New Roman"/>
                <w:b/>
                <w:sz w:val="24"/>
                <w:szCs w:val="24"/>
              </w:rPr>
              <w:t>1</w:t>
            </w:r>
            <w:r w:rsidR="00C5008E" w:rsidRPr="003C4AEB">
              <w:rPr>
                <w:rFonts w:ascii="Times New Roman" w:eastAsia="Times New Roman" w:hAnsi="Times New Roman" w:cs="Times New Roman"/>
                <w:sz w:val="24"/>
                <w:szCs w:val="24"/>
              </w:rPr>
              <w:t xml:space="preserve"> Đề nghị làm rõ về cách thức và thời điểm trích lập phân loại nợ làm cơ sở để hạch toán, cụ thể:</w:t>
            </w:r>
          </w:p>
          <w:p w:rsidR="00C5008E" w:rsidRPr="003C4AEB" w:rsidRDefault="00C8309A" w:rsidP="0001557F">
            <w:pPr>
              <w:jc w:val="both"/>
              <w:rPr>
                <w:rFonts w:ascii="Times New Roman" w:eastAsia="Times New Roman" w:hAnsi="Times New Roman" w:cs="Times New Roman"/>
                <w:sz w:val="24"/>
                <w:szCs w:val="24"/>
              </w:rPr>
            </w:pPr>
            <w:r w:rsidRPr="00844781">
              <w:rPr>
                <w:rFonts w:ascii="Times New Roman" w:eastAsia="Times New Roman" w:hAnsi="Times New Roman" w:cs="Times New Roman"/>
                <w:sz w:val="24"/>
                <w:szCs w:val="24"/>
              </w:rPr>
              <w:t>-</w:t>
            </w:r>
            <w:r w:rsidRPr="003C4AEB">
              <w:rPr>
                <w:rFonts w:ascii="Times New Roman" w:eastAsia="Times New Roman" w:hAnsi="Times New Roman" w:cs="Times New Roman"/>
                <w:b/>
                <w:sz w:val="24"/>
                <w:szCs w:val="24"/>
              </w:rPr>
              <w:t xml:space="preserve"> </w:t>
            </w:r>
            <w:r w:rsidR="00C5008E" w:rsidRPr="003C4AEB">
              <w:rPr>
                <w:rFonts w:ascii="Times New Roman" w:eastAsia="Times New Roman" w:hAnsi="Times New Roman" w:cs="Times New Roman"/>
                <w:sz w:val="24"/>
                <w:szCs w:val="24"/>
              </w:rPr>
              <w:t>Tại Dự thảo Nghị định có nội dung quy định Điều 9. Thời điểm trích lập dự phòng rủi ro, trong đó dự thảo Nghị định đưa ra hai phương án trích lập DPRR.</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sz w:val="24"/>
                <w:szCs w:val="24"/>
              </w:rPr>
              <w:t>Phương án 1: Phân loại và trích lập theo kết quả phân loại nợ trước CIC theo phương án này chỉ là cho mục đích phân loại thôi có hạch toán số liệu phân loại này trước CIC không? Vì tại Điều 15 của dự thảo Nghị định về hạch toán không nói rõ.</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sz w:val="24"/>
                <w:szCs w:val="24"/>
              </w:rPr>
              <w:t xml:space="preserve">Phương án 2: Phân loại và trích lập theo kết quả phân loại </w:t>
            </w:r>
            <w:r w:rsidRPr="003C4AEB">
              <w:rPr>
                <w:rFonts w:ascii="Times New Roman" w:eastAsia="Times New Roman" w:hAnsi="Times New Roman" w:cs="Times New Roman"/>
                <w:sz w:val="24"/>
                <w:szCs w:val="24"/>
              </w:rPr>
              <w:lastRenderedPageBreak/>
              <w:t>nợ sau CIC =&gt; Sau đó thực hiện hạch toán theo kết quả phân loại nợ theo CIC.</w:t>
            </w:r>
          </w:p>
          <w:p w:rsidR="00C5008E" w:rsidRPr="003C4AEB" w:rsidRDefault="00C8309A" w:rsidP="0001557F">
            <w:pPr>
              <w:jc w:val="both"/>
              <w:rPr>
                <w:rFonts w:ascii="Times New Roman" w:eastAsia="Times New Roman" w:hAnsi="Times New Roman" w:cs="Times New Roman"/>
                <w:sz w:val="24"/>
                <w:szCs w:val="24"/>
              </w:rPr>
            </w:pPr>
            <w:r w:rsidRPr="00844781">
              <w:rPr>
                <w:rFonts w:ascii="Times New Roman" w:eastAsia="Times New Roman" w:hAnsi="Times New Roman" w:cs="Times New Roman"/>
                <w:sz w:val="24"/>
                <w:szCs w:val="24"/>
              </w:rPr>
              <w:t>-</w:t>
            </w:r>
            <w:r w:rsidRPr="003C4AEB">
              <w:rPr>
                <w:rFonts w:ascii="Times New Roman" w:eastAsia="Times New Roman" w:hAnsi="Times New Roman" w:cs="Times New Roman"/>
                <w:b/>
                <w:sz w:val="24"/>
                <w:szCs w:val="24"/>
              </w:rPr>
              <w:t xml:space="preserve"> </w:t>
            </w:r>
            <w:r w:rsidR="00C5008E" w:rsidRPr="003C4AEB">
              <w:rPr>
                <w:rFonts w:ascii="Times New Roman" w:eastAsia="Times New Roman" w:hAnsi="Times New Roman" w:cs="Times New Roman"/>
                <w:sz w:val="24"/>
                <w:szCs w:val="24"/>
              </w:rPr>
              <w:t>Tại Dự thảo Thông tư có nội dung quy định Điều 8. Thời điểm, trình tự phân loại nợ, trong đó Khoản 1, Điều 8 của dự thảo Thông tư quy định:</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sz w:val="24"/>
                <w:szCs w:val="24"/>
              </w:rPr>
              <w:t>“1. Ít nhất mỗi tháng một lần, trong 05 (năm) ngày làm việc đầu tiên của tháng, tổ chức tín dụng, chi nhánh ngân hàng nước ngoài căn cứ quy định tại khoản 3 Điều 1, Điều 9, Điều 10, Điều 11 Thông tư này để tự thực hiện phân loại nợ, cam kết ngoại bảng đến thời điểm cuối ngày cuối cùng của tháng trước liền kề theo kết quả tự phân loại nợ, cam kết ngoại bảng và gửi kết quả tự phân loại nợ, cam kết ngoại bảng cho CIC.</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sz w:val="24"/>
                <w:szCs w:val="24"/>
              </w:rPr>
              <w:t>Ngoài thời điểm phân loại nêu trên, tổ chức tín dụng, chi nhánh ngân hàng nước ngoài được tự thực hiện phân loại nợ, cam kết ngoại bảng theo quy định nội bộ.”</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sz w:val="24"/>
                <w:szCs w:val="24"/>
              </w:rPr>
              <w:t>=&gt; Nội dung về thực hiện trích lập dự phòng rủi ro theo quy định nội bộ ngoài thời điểm quy định không được quy định tại Điều 9 của Nghị định.</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sz w:val="24"/>
                <w:szCs w:val="24"/>
              </w:rPr>
              <w:t>VRB đề xuất bổ sung nội dung về việc cho phép tổ chức tín dụng thực hiện trích lập rủi ro ngoài thời điểm quy định theo nguyên tắc phân loại nợ và trích lập dự phòng quy định tại dự thảo Thông tư và Nghị định để tổ chức tín dụng có thể trích lập bổ sung dự phòng rủi ro đối với trường hợp phát sinh rủi ro đột xuất.</w:t>
            </w:r>
          </w:p>
          <w:p w:rsidR="00C5008E" w:rsidRPr="003C4AEB" w:rsidRDefault="00C8309A" w:rsidP="0001557F">
            <w:pPr>
              <w:jc w:val="both"/>
              <w:rPr>
                <w:rFonts w:ascii="Times New Roman" w:eastAsia="Times New Roman" w:hAnsi="Times New Roman" w:cs="Times New Roman"/>
                <w:sz w:val="24"/>
                <w:szCs w:val="24"/>
              </w:rPr>
            </w:pPr>
            <w:r w:rsidRPr="00844781">
              <w:rPr>
                <w:rFonts w:ascii="Times New Roman" w:eastAsia="Times New Roman" w:hAnsi="Times New Roman" w:cs="Times New Roman"/>
                <w:b/>
                <w:sz w:val="24"/>
                <w:szCs w:val="24"/>
              </w:rPr>
              <w:t>4.2.</w:t>
            </w:r>
            <w:r w:rsidR="00C5008E" w:rsidRPr="003C4AEB">
              <w:rPr>
                <w:rFonts w:ascii="Times New Roman" w:eastAsia="Times New Roman" w:hAnsi="Times New Roman" w:cs="Times New Roman"/>
                <w:sz w:val="24"/>
                <w:szCs w:val="24"/>
              </w:rPr>
              <w:t xml:space="preserve"> VRB đề xuất chọn phương án 2 để phản ánh chân thực nhất tình hình chất lượng tín dụng của ngân hàng do thực hiện theo kết quả tự phân loại nợ kỳ này, sau khi điều chỉnh tại thông báo CIC kỳ liền trước</w:t>
            </w:r>
          </w:p>
          <w:p w:rsidR="00C5008E" w:rsidRPr="003C4AEB" w:rsidRDefault="00C8309A" w:rsidP="0001557F">
            <w:pPr>
              <w:jc w:val="both"/>
              <w:rPr>
                <w:rFonts w:ascii="Times New Roman" w:hAnsi="Times New Roman" w:cs="Times New Roman"/>
                <w:b/>
                <w:sz w:val="24"/>
                <w:szCs w:val="24"/>
              </w:rPr>
            </w:pPr>
            <w:r w:rsidRPr="00844781">
              <w:rPr>
                <w:rFonts w:ascii="Times New Roman" w:eastAsia="Times New Roman" w:hAnsi="Times New Roman" w:cs="Times New Roman"/>
                <w:b/>
                <w:sz w:val="24"/>
                <w:szCs w:val="24"/>
              </w:rPr>
              <w:t>4.3.</w:t>
            </w:r>
            <w:r w:rsidR="00C5008E" w:rsidRPr="003C4AEB">
              <w:rPr>
                <w:rFonts w:ascii="Times New Roman" w:eastAsia="Times New Roman" w:hAnsi="Times New Roman" w:cs="Times New Roman"/>
                <w:sz w:val="24"/>
                <w:szCs w:val="24"/>
              </w:rPr>
              <w:t xml:space="preserve"> Khoản 2 điều 9: Đối với tháng đầu tiên của quý, đề xuất gia tăng thời hạn trích lập dự phòng rủi ro theo kết quả phân loại nợ đã điều chỉnh theo nhóm nợ của danh sách khách hàng cung cấp bởi CIC lên 13 ngày tương ứng với đề xuất gia tăng thời hạn điều chỉnh nhóm nợ theo danh sách CIC cung cấp đối với dự thảo Thông tư quy định về phân loại tài sản có trong hoạt động của tổ chức tín dụng, chi nhánh ngân hàng nước ngoài tại phụ lục 2.</w:t>
            </w:r>
          </w:p>
        </w:tc>
        <w:tc>
          <w:tcPr>
            <w:tcW w:w="2268" w:type="dxa"/>
          </w:tcPr>
          <w:p w:rsidR="00C5008E" w:rsidRPr="003C4AEB" w:rsidRDefault="00C5008E" w:rsidP="0001557F">
            <w:pPr>
              <w:jc w:val="both"/>
              <w:rPr>
                <w:rFonts w:ascii="Times New Roman" w:hAnsi="Times New Roman" w:cs="Times New Roman"/>
                <w:bCs/>
                <w:sz w:val="24"/>
                <w:szCs w:val="24"/>
                <w:lang w:val="vi-VN"/>
              </w:rPr>
            </w:pPr>
            <w:r w:rsidRPr="003C4AEB">
              <w:rPr>
                <w:rFonts w:ascii="Times New Roman" w:eastAsia="Times New Roman" w:hAnsi="Times New Roman" w:cs="Times New Roman"/>
                <w:sz w:val="24"/>
                <w:szCs w:val="24"/>
              </w:rPr>
              <w:lastRenderedPageBreak/>
              <w:t>Ngân hàng Liên doanh Việt – Nga</w:t>
            </w:r>
          </w:p>
        </w:tc>
        <w:tc>
          <w:tcPr>
            <w:tcW w:w="4677" w:type="dxa"/>
          </w:tcPr>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b/>
                <w:sz w:val="24"/>
                <w:szCs w:val="24"/>
              </w:rPr>
              <w:t>Nội dung 1:</w:t>
            </w:r>
            <w:r w:rsidRPr="003C4AEB">
              <w:rPr>
                <w:rFonts w:ascii="Times New Roman" w:eastAsia="Times New Roman" w:hAnsi="Times New Roman" w:cs="Times New Roman"/>
                <w:sz w:val="24"/>
                <w:szCs w:val="24"/>
              </w:rPr>
              <w:t xml:space="preserve"> Dự thảo Nghị định đã quy định rõ nội dung các phương án.</w:t>
            </w:r>
          </w:p>
          <w:p w:rsidR="00C5008E" w:rsidRPr="003C4AEB" w:rsidRDefault="00C5008E" w:rsidP="0001557F">
            <w:pPr>
              <w:jc w:val="both"/>
              <w:rPr>
                <w:rFonts w:ascii="Times New Roman" w:eastAsia="Times New Roman" w:hAnsi="Times New Roman" w:cs="Times New Roman"/>
                <w:sz w:val="24"/>
                <w:szCs w:val="24"/>
              </w:rPr>
            </w:pPr>
            <w:r w:rsidRPr="003C4AEB">
              <w:rPr>
                <w:rFonts w:ascii="Times New Roman" w:eastAsia="Times New Roman" w:hAnsi="Times New Roman" w:cs="Times New Roman"/>
                <w:b/>
                <w:sz w:val="24"/>
                <w:szCs w:val="24"/>
              </w:rPr>
              <w:t xml:space="preserve">Nội dung 2, 3: Không tiếp thu, </w:t>
            </w:r>
            <w:r w:rsidRPr="003C4AEB">
              <w:rPr>
                <w:rFonts w:ascii="Times New Roman" w:eastAsia="Times New Roman" w:hAnsi="Times New Roman" w:cs="Times New Roman"/>
                <w:sz w:val="24"/>
                <w:szCs w:val="24"/>
              </w:rPr>
              <w:t>Việc trích lập dự phòng rủi ro liên quan đến các quy định về cơ chế tài chính, tài chính, kế toán nên cần được thống nhất thực hiện.</w:t>
            </w:r>
          </w:p>
          <w:p w:rsidR="00C5008E" w:rsidRPr="003C4AEB" w:rsidRDefault="00C5008E" w:rsidP="0001557F">
            <w:pPr>
              <w:jc w:val="both"/>
              <w:rPr>
                <w:rFonts w:ascii="Times New Roman" w:eastAsia="Times New Roman" w:hAnsi="Times New Roman" w:cs="Times New Roman"/>
                <w:b/>
                <w:sz w:val="24"/>
                <w:szCs w:val="24"/>
              </w:rPr>
            </w:pPr>
            <w:r w:rsidRPr="003C4AEB">
              <w:rPr>
                <w:rFonts w:ascii="Times New Roman" w:eastAsia="Times New Roman" w:hAnsi="Times New Roman" w:cs="Times New Roman"/>
                <w:sz w:val="24"/>
                <w:szCs w:val="24"/>
              </w:rPr>
              <w:t>NHNN đã quy định thống nhất giữa dự thảo Thông tư và dự thảo Nghị định về thời điểm phân loại nợ, trích lập dự phòng rủi ro.</w:t>
            </w:r>
          </w:p>
          <w:p w:rsidR="00C5008E" w:rsidRPr="003C4AEB" w:rsidRDefault="00C5008E" w:rsidP="0001557F">
            <w:pPr>
              <w:jc w:val="both"/>
              <w:rPr>
                <w:rFonts w:ascii="Times New Roman" w:eastAsia="Times New Roman" w:hAnsi="Times New Roman" w:cs="Times New Roman"/>
                <w:b/>
                <w:sz w:val="24"/>
                <w:szCs w:val="24"/>
              </w:rPr>
            </w:pPr>
          </w:p>
        </w:tc>
      </w:tr>
      <w:tr w:rsidR="00C5008E" w:rsidRPr="00AF7630" w:rsidTr="0069372A">
        <w:tc>
          <w:tcPr>
            <w:tcW w:w="297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3 Điều 10 DTNĐ:</w:t>
            </w:r>
          </w:p>
          <w:p w:rsidR="00C5008E" w:rsidRPr="00AF7630" w:rsidRDefault="00C5008E"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iCs/>
                <w:sz w:val="24"/>
                <w:szCs w:val="24"/>
              </w:rPr>
              <w:t xml:space="preserve">3. Tổ chức tín dụng, chi nhánh ngân hàng nước ngoài sử dụng dự phòng để xử lý rủi ro theo nguyên tắc sau: </w:t>
            </w:r>
          </w:p>
          <w:p w:rsidR="00C5008E" w:rsidRPr="00AF7630" w:rsidRDefault="00C5008E"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a) Đối với trường hợp tổ chức tín dụng, chi nhánh ngân hàng nước ngoài đã xử lý tài sản bảo đảm để thu hồi nợ theo thỏa thuận của các bên, phù hợp với quy định của pháp luật, tổ chức tín dụng, chi nhánh ngân hàng nước ngoài sử dụng dự phòng cụ thể để xử lý rủi ro đối với số dư nợ còn lại của khoản nợ; trường hợp sử dụng dự phòng cụ thể không đủ bù đắp rủi ro của khoản nợ thì phải sử dụng dự phòng chung để xử lý rủi ro;</w:t>
            </w:r>
          </w:p>
          <w:p w:rsidR="00C5008E" w:rsidRPr="00AF7630" w:rsidRDefault="00C5008E"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b) Đối với trường hợp tổ chức tín dụng, chi nhánh ngân hàng nước ngoài chưa xử lý tài sản bảo đảm để thu hồi nợ, tổ chức tín dụng, chi nhánh ngân hàng nước ngoài sử dụng dự phòng để xử lý rủi ro theo nguyên tắc sau:</w:t>
            </w:r>
          </w:p>
          <w:p w:rsidR="00C5008E" w:rsidRPr="00AF7630" w:rsidRDefault="00C5008E"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(i) Sử dụng dự phòng cụ thể để xử lý rủi ro đối với khoản nợ đó;</w:t>
            </w:r>
          </w:p>
          <w:p w:rsidR="00C5008E" w:rsidRPr="00AF7630" w:rsidRDefault="00C5008E"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 xml:space="preserve">(ii) Khẩn trương tiến hành xử lý tài sản bảo đảm theo </w:t>
            </w:r>
            <w:r w:rsidRPr="00AF7630">
              <w:rPr>
                <w:rFonts w:ascii="Times New Roman" w:eastAsia="Times New Roman" w:hAnsi="Times New Roman" w:cs="Times New Roman"/>
                <w:i/>
                <w:iCs/>
                <w:sz w:val="24"/>
                <w:szCs w:val="24"/>
              </w:rPr>
              <w:lastRenderedPageBreak/>
              <w:t>thỏa thuận với khách hàng và theo quy định của pháp luật để thu hồi nợ;</w:t>
            </w:r>
          </w:p>
          <w:p w:rsidR="00C5008E" w:rsidRPr="00AF7630" w:rsidRDefault="00C5008E"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(iii) Trường hợp sử dụng dự phòng cụ thể và số tiền thu được từ xử lý tài sản bảo đảm không đủ bù đắp rủi ro của khoản nợ thì sử dụng dự phòng chung để xử lý rủi ro.</w:t>
            </w:r>
          </w:p>
          <w:p w:rsidR="00C5008E" w:rsidRPr="00AF7630" w:rsidRDefault="00C5008E" w:rsidP="0001557F">
            <w:pPr>
              <w:jc w:val="both"/>
              <w:rPr>
                <w:rFonts w:ascii="Times New Roman" w:eastAsia="Times New Roman" w:hAnsi="Times New Roman" w:cs="Times New Roman"/>
                <w:iCs/>
                <w:sz w:val="24"/>
                <w:szCs w:val="24"/>
              </w:rPr>
            </w:pPr>
            <w:r w:rsidRPr="00AF7630">
              <w:rPr>
                <w:rFonts w:ascii="Times New Roman" w:eastAsia="Times New Roman" w:hAnsi="Times New Roman" w:cs="Times New Roman"/>
                <w:i/>
                <w:iCs/>
                <w:sz w:val="24"/>
                <w:szCs w:val="24"/>
              </w:rPr>
              <w:t>c) Tổ chức tín dụng, chi nhánh ngân hàng nước ngoài hạch toán ngoại bảng phần dư nợ đã sử dụng dự phòng cụ thể, dự phòng chung để xử lý rủi ro quy định tại các điểm a, b Khoản này.</w:t>
            </w:r>
            <w:r w:rsidRPr="00AF7630">
              <w:rPr>
                <w:rFonts w:ascii="Times New Roman" w:eastAsia="Times New Roman" w:hAnsi="Times New Roman" w:cs="Times New Roman"/>
                <w:i/>
                <w:sz w:val="24"/>
                <w:szCs w:val="24"/>
              </w:rPr>
              <w:t>”</w:t>
            </w:r>
          </w:p>
        </w:tc>
        <w:tc>
          <w:tcPr>
            <w:tcW w:w="5953"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Đề xuất Ban soạn thảo xem xét:</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Cho phép sử dụng quỹ dự phòng tài chính để xử lý rủi ro</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Cho phép sử dụng chi phí để xử lý rủi ro và chi phí này được phân bổ trong vòng 2-3 năm nếu chi phí bù đắp có giá trị lớn.</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Lý do đề xuất: Theo khoản 4 Điều 12 Nghị định 93/2017/NĐ-QH về Xử lý tổn thất bằng tài sản đã nêu trên. Do đó, kiến nghị cho phép sử dụng quỹ dự phòng tài chính để xử lý rủi ro. Trường hợp đã sử dụng hết giá trị tài sản phát mại, quỹ dự phòng cụ thể, quỹ dự phòng tài chính thì được dùng chi phí để xử lý, tuy nhiên cần cho phép phân bổ chi phí để xử lý rủi ro này vào kết quả kinh doanh trong khoảng 2-3 năm tài chính (nếu chi phí lớn).</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CTTC CP Điện lực</w:t>
            </w:r>
          </w:p>
        </w:tc>
        <w:tc>
          <w:tcPr>
            <w:tcW w:w="4677"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Nghị định 93/2017/NĐ-CP quy định về chế độ tài chính đối với TCTD, chi nhánh NHNg, trong khi đó Dự thảo Nghị định quy định về việc trích lập dự phòng để xử lý rủi ro.</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 đó, Dự thảo Nghị định quy định về nguyên tắc xử lý lý rủi ro trên cơ sở số tiền dự phòng cụ thể, dự phòng chung đã trích để xử lý rủi ro và quy định cụ thể đối với trường hợp TCTD đã hoặc chưa xử lý tài sản bảo đảm để thu hồi nợ.</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Việc sử dụng các quỹ (như quỹ dự phòng tài chính…) các đơn vị thực hiện theo quy định tại Nghị định 93/2017/NĐ-CP và các văn bản hướng dẫn của Bộ Tài chính.</w:t>
            </w:r>
          </w:p>
        </w:tc>
      </w:tr>
      <w:tr w:rsidR="00C5008E" w:rsidRPr="00AF7630" w:rsidTr="0069372A">
        <w:tc>
          <w:tcPr>
            <w:tcW w:w="297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4 Điều 10 DTNĐ:</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hAnsi="Times New Roman" w:cs="Times New Roman"/>
                <w:i/>
                <w:iCs/>
                <w:spacing w:val="-2"/>
                <w:sz w:val="24"/>
                <w:szCs w:val="24"/>
              </w:rPr>
              <w:t xml:space="preserve">“…Sau khi xử lý rủi ro, tổ chức tín dụng, chi nhánh ngân hàng nước ngoài phải theo dõi, </w:t>
            </w:r>
            <w:r w:rsidRPr="00AF7630">
              <w:rPr>
                <w:rFonts w:ascii="Times New Roman" w:hAnsi="Times New Roman" w:cs="Times New Roman"/>
                <w:i/>
                <w:iCs/>
                <w:spacing w:val="-2"/>
                <w:sz w:val="24"/>
                <w:szCs w:val="24"/>
                <w:u w:val="single"/>
              </w:rPr>
              <w:t>có các biện pháp thu hồi nợ đầy đủ, triệt để</w:t>
            </w:r>
            <w:r w:rsidRPr="00AF7630">
              <w:rPr>
                <w:rFonts w:ascii="Times New Roman" w:hAnsi="Times New Roman" w:cs="Times New Roman"/>
                <w:i/>
                <w:iCs/>
                <w:spacing w:val="-2"/>
                <w:sz w:val="24"/>
                <w:szCs w:val="24"/>
              </w:rPr>
              <w:t xml:space="preserve"> đối với khoản nợ được xử lý rủi ro,…”</w:t>
            </w:r>
          </w:p>
        </w:tc>
        <w:tc>
          <w:tcPr>
            <w:tcW w:w="5953"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hAnsi="Times New Roman" w:cs="Times New Roman"/>
                <w:spacing w:val="-2"/>
                <w:sz w:val="24"/>
                <w:szCs w:val="24"/>
              </w:rPr>
              <w:t xml:space="preserve">Đề nghị sửa đổi </w:t>
            </w:r>
            <w:r w:rsidRPr="00AF7630">
              <w:rPr>
                <w:rFonts w:ascii="Times New Roman" w:hAnsi="Times New Roman" w:cs="Times New Roman"/>
                <w:i/>
                <w:iCs/>
                <w:spacing w:val="-2"/>
                <w:sz w:val="24"/>
                <w:szCs w:val="24"/>
              </w:rPr>
              <w:t xml:space="preserve">“ Sau khi xử lý rủi ro, tổ chức tín dụng, chi nhánh ngân hàng nước ngoài phải theo dõi, </w:t>
            </w:r>
            <w:r w:rsidRPr="00AF7630">
              <w:rPr>
                <w:rFonts w:ascii="Times New Roman" w:hAnsi="Times New Roman" w:cs="Times New Roman"/>
                <w:i/>
                <w:iCs/>
                <w:spacing w:val="-2"/>
                <w:sz w:val="24"/>
                <w:szCs w:val="24"/>
                <w:u w:val="single"/>
              </w:rPr>
              <w:t>thực hiện đầy đủ các biện pháp xử lý nợ theo quy định nội bộ của TCTD để thu hồi triệt để</w:t>
            </w:r>
            <w:r w:rsidRPr="00AF7630">
              <w:rPr>
                <w:rFonts w:ascii="Times New Roman" w:hAnsi="Times New Roman" w:cs="Times New Roman"/>
                <w:i/>
                <w:iCs/>
                <w:spacing w:val="-2"/>
                <w:sz w:val="24"/>
                <w:szCs w:val="24"/>
              </w:rPr>
              <w:t xml:space="preserve"> đối với khoản nợ được xử lý rủi ro,….”</w:t>
            </w:r>
            <w:r w:rsidRPr="00AF7630">
              <w:rPr>
                <w:rFonts w:ascii="Times New Roman" w:hAnsi="Times New Roman" w:cs="Times New Roman"/>
                <w:spacing w:val="-2"/>
                <w:sz w:val="24"/>
                <w:szCs w:val="24"/>
              </w:rPr>
              <w:t xml:space="preserve"> do chưa có khái niệm thống nhất về các biện pháp thu hồi nợ đầy đủ và triệt để đối với Khách hàng, có thể dẫn đến cách hiểu theo quan điểm cá nhân không đồng nhất.</w:t>
            </w:r>
          </w:p>
        </w:tc>
        <w:tc>
          <w:tcPr>
            <w:tcW w:w="2268" w:type="dxa"/>
          </w:tcPr>
          <w:p w:rsidR="00C5008E" w:rsidRPr="00AF7630" w:rsidRDefault="00C5008E" w:rsidP="0001557F">
            <w:pPr>
              <w:jc w:val="both"/>
              <w:rPr>
                <w:rFonts w:ascii="Times New Roman" w:hAnsi="Times New Roman" w:cs="Times New Roman"/>
                <w:sz w:val="24"/>
                <w:szCs w:val="24"/>
              </w:rPr>
            </w:pPr>
            <w:r w:rsidRPr="00AF7630">
              <w:rPr>
                <w:rFonts w:ascii="Times New Roman" w:hAnsi="Times New Roman" w:cs="Times New Roman"/>
                <w:spacing w:val="-2"/>
                <w:sz w:val="24"/>
                <w:szCs w:val="24"/>
              </w:rPr>
              <w:t>Quân đội, GPBank</w:t>
            </w:r>
          </w:p>
        </w:tc>
        <w:tc>
          <w:tcPr>
            <w:tcW w:w="4677"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giữ nguyên nội dung này, theo đó TCTD phải thực hiện các biện pháp thu hồi nợ đầy đủ, triệt để đối với khoản nợ được xử lý rủi ro theo quy định pháp luật.</w:t>
            </w:r>
          </w:p>
        </w:tc>
      </w:tr>
      <w:tr w:rsidR="00C5008E" w:rsidRPr="00AF7630" w:rsidTr="0069372A">
        <w:tc>
          <w:tcPr>
            <w:tcW w:w="2978" w:type="dxa"/>
            <w:vMerge w:val="restart"/>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5 Điều 10 DTNĐ:</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“5. Hồ sơ xử lý rủi ro gồm:</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a) Hồ sơ cấp tín dụng và hồ sơ thu nợ đối với các khoản nợ được sử dụng dự phòng để xử lý rủi ro;</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b) Hồ sơ tài sản bảo đảm và các giấy tờ khác có liên quan (nếu có);</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c) Quyết định hoặc phê duyệt của Hội đồng xử lý rủi ro về kết quả phân loại nợ, </w:t>
            </w:r>
            <w:r w:rsidRPr="00AF7630">
              <w:rPr>
                <w:rFonts w:ascii="Times New Roman" w:eastAsia="Times New Roman" w:hAnsi="Times New Roman" w:cs="Times New Roman"/>
                <w:i/>
                <w:sz w:val="24"/>
                <w:szCs w:val="24"/>
              </w:rPr>
              <w:lastRenderedPageBreak/>
              <w:t>trích lập dự phòng rủi ro đối với khoản nợ được sử dụng dự phòng để xử lý rủi ro;</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d) Quyết định hoặc phê duyệt của Hội đồng xử lý rủi ro về việc sử dụng dự phòng để xử lý rủi ro;</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đ) Đối với trường hợp khách hàng là tổ chức, doanh nghiệp bị phá sản, giải thể, ngoài hồ sơ nêu tại các điểm a, b, c, d khoản này phải có bản gốc hoặc bản sao được chứng thực hoặc bản sao từ sổ gốc Quyết định tuyên bố phá sản của Tòa án hoặc quyết định giải thể doanh nghiệp theo quy định của pháp luật;</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e) Đối với trường hợp khách hàng là cá nhân bị chết, mất tích, ngoài hồ sơ quy định tại các điểm a, b, c, d khoản này phải có bản gốc hoặc bản sao được chứng thực hoặc bản sao từ sổ gốc Giấy chứng tử hoặc xác nhận bằng văn bản của chính quyền địa phương cấp xã về việc khách hàng đã chết trong trường hợp không có Giấy chứng tử, hoặc quyết định tuyên bố mất tích theo quy định của pháp luật.</w:t>
            </w:r>
          </w:p>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 xml:space="preserve">g) Đối với trường hợp khách hàng của tổ chức tài chính </w:t>
            </w:r>
            <w:r w:rsidRPr="00AF7630">
              <w:rPr>
                <w:rFonts w:ascii="Times New Roman" w:eastAsia="Times New Roman" w:hAnsi="Times New Roman" w:cs="Times New Roman"/>
                <w:i/>
                <w:sz w:val="24"/>
                <w:szCs w:val="24"/>
              </w:rPr>
              <w:lastRenderedPageBreak/>
              <w:t>vi mô là cá nhân bị thương tật vĩnh viễn, không còn khả năng lao động tạo thu nhập: Ngoài hồ sơ quy định tại các điểm a, b, c, d khoản này, phải có bản sao giấy tờ chứng minh bị thương tật vĩnh viễn, mất khả năng lao động do cơ quan có thẩm quyền cấp.”</w:t>
            </w:r>
          </w:p>
        </w:tc>
        <w:tc>
          <w:tcPr>
            <w:tcW w:w="5953"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hAnsi="Times New Roman" w:cs="Times New Roman"/>
                <w:spacing w:val="-2"/>
                <w:sz w:val="24"/>
                <w:szCs w:val="24"/>
              </w:rPr>
              <w:lastRenderedPageBreak/>
              <w:t>Điểm a khoản 5: Các hồ sơ, thủ tục nên bám theo Thông tư 39/2016/TT-NHNN và văn bản sửa đổi để thống nhất (do việc xử lý dự phòng cũng chỉ là một giai đoạn nối tiếp sau quá trình cấp tín dụng), nếu không cần bổ sung định nghĩa cụ thể, bao gồm tài liệu, dữ liệu và các hình thức khác được công nhận đối với trường hợp TCTD thực hiện cho vay bằng phương tiện điện tử để phù hợp thực tế hiện nay.</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hAnsi="Times New Roman" w:cs="Times New Roman"/>
                <w:spacing w:val="-2"/>
                <w:sz w:val="24"/>
                <w:szCs w:val="24"/>
              </w:rPr>
              <w:t>Quân đội</w:t>
            </w:r>
          </w:p>
        </w:tc>
        <w:tc>
          <w:tcPr>
            <w:tcW w:w="4677" w:type="dxa"/>
          </w:tcPr>
          <w:p w:rsidR="00C5008E" w:rsidRPr="00AF7630" w:rsidRDefault="00C5008E" w:rsidP="0001557F">
            <w:pPr>
              <w:tabs>
                <w:tab w:val="left" w:pos="1678"/>
              </w:tabs>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Hồ sơ xử lý rủi ro phải có hồ sơ cấp tín dụng và hồ sơ thu nợ đối với các khoản nợ được sử dụng dự phòng để xử lý rủi ro. Theo đó, các TCTD, chi nhánh NHNg căn cứ các quy định của pháp luật hiện hành có liên quan đến hoạt động cấp tín dụng và quy định tại Dự thảo Nghị định để chuẩn bị hồ sơ xử lý rủi ro, đảm bảo phù hợp với quy định của pháp luật.</w:t>
            </w:r>
            <w:r w:rsidRPr="00AF7630">
              <w:rPr>
                <w:rFonts w:ascii="Times New Roman" w:eastAsia="Times New Roman" w:hAnsi="Times New Roman" w:cs="Times New Roman"/>
                <w:sz w:val="24"/>
                <w:szCs w:val="24"/>
              </w:rPr>
              <w:tab/>
            </w: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rsidP="0001557F">
            <w:pPr>
              <w:jc w:val="both"/>
              <w:rPr>
                <w:rFonts w:ascii="Times New Roman" w:hAnsi="Times New Roman" w:cs="Times New Roman"/>
                <w:color w:val="000000"/>
                <w:sz w:val="24"/>
                <w:szCs w:val="24"/>
                <w:lang w:val="pl-PL"/>
              </w:rPr>
            </w:pPr>
            <w:r w:rsidRPr="00AF7630">
              <w:rPr>
                <w:rFonts w:ascii="Times New Roman" w:hAnsi="Times New Roman" w:cs="Times New Roman"/>
                <w:color w:val="000000"/>
                <w:sz w:val="24"/>
                <w:szCs w:val="24"/>
                <w:lang w:val="pl-PL"/>
              </w:rPr>
              <w:t>Tại điểm c khoản 5: đề nghị cân nhắc lược bỏ cụm từ “đối với khoản nợ được sử dụng dự phòng để xử lý rủi ro”.</w:t>
            </w:r>
          </w:p>
          <w:p w:rsidR="00C5008E" w:rsidRPr="00AF7630" w:rsidRDefault="00C5008E" w:rsidP="0001557F">
            <w:pPr>
              <w:jc w:val="both"/>
              <w:rPr>
                <w:rFonts w:ascii="Times New Roman" w:hAnsi="Times New Roman" w:cs="Times New Roman"/>
                <w:color w:val="000000"/>
                <w:sz w:val="24"/>
                <w:szCs w:val="24"/>
                <w:lang w:val="pl-PL"/>
              </w:rPr>
            </w:pPr>
            <w:r w:rsidRPr="00AF7630">
              <w:rPr>
                <w:rFonts w:ascii="Times New Roman" w:hAnsi="Times New Roman" w:cs="Times New Roman"/>
                <w:color w:val="000000"/>
                <w:sz w:val="24"/>
                <w:szCs w:val="24"/>
                <w:lang w:val="pl-PL"/>
              </w:rPr>
              <w:t xml:space="preserve">Lý do: Quyết định hoặc phê duyệt của Hội đồng XLRR về </w:t>
            </w:r>
            <w:r w:rsidRPr="00AF7630">
              <w:rPr>
                <w:rFonts w:ascii="Times New Roman" w:hAnsi="Times New Roman" w:cs="Times New Roman"/>
                <w:color w:val="000000"/>
                <w:sz w:val="24"/>
                <w:szCs w:val="24"/>
                <w:lang w:val="pl-PL"/>
              </w:rPr>
              <w:lastRenderedPageBreak/>
              <w:t>kết quả phân loại nợ, trích lập dự phòng rủi ro được thực hiện chung, trong đó bao gồm “khoản nợ được sử dụng dự phòng để xử lý rủi ro”.</w:t>
            </w:r>
          </w:p>
        </w:tc>
        <w:tc>
          <w:tcPr>
            <w:tcW w:w="2268" w:type="dxa"/>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hAnsi="Times New Roman" w:cs="Times New Roman"/>
                <w:color w:val="000000"/>
                <w:sz w:val="24"/>
                <w:szCs w:val="24"/>
                <w:lang w:val="pl-PL"/>
              </w:rPr>
              <w:lastRenderedPageBreak/>
              <w:t>Agribank</w:t>
            </w:r>
          </w:p>
        </w:tc>
        <w:tc>
          <w:tcPr>
            <w:tcW w:w="4677" w:type="dxa"/>
            <w:vMerge w:val="restart"/>
          </w:tcPr>
          <w:p w:rsidR="00C5008E" w:rsidRPr="00AF7630" w:rsidRDefault="00C5008E"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Quy định tại điểm này phù hợp với quy định về trách nhiệm Hội đồng xử lý rủi ro của TCTD, chi nhánh NHNg đối với khoản nợ sử </w:t>
            </w:r>
            <w:r w:rsidRPr="00AF7630">
              <w:rPr>
                <w:rFonts w:ascii="Times New Roman" w:eastAsia="Times New Roman" w:hAnsi="Times New Roman" w:cs="Times New Roman"/>
                <w:sz w:val="24"/>
                <w:szCs w:val="24"/>
              </w:rPr>
              <w:lastRenderedPageBreak/>
              <w:t>dụng dự phòng để xử lý rủi ro tại khoản 2 Điều 10 Dự thảo Nghị định.</w:t>
            </w: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RDefault="00C5008E" w:rsidP="0001557F">
            <w:pPr>
              <w:jc w:val="both"/>
              <w:rPr>
                <w:rFonts w:ascii="Times New Roman" w:hAnsi="Times New Roman" w:cs="Times New Roman"/>
                <w:color w:val="000000"/>
                <w:sz w:val="24"/>
                <w:szCs w:val="24"/>
              </w:rPr>
            </w:pPr>
            <w:r w:rsidRPr="00AF7630">
              <w:rPr>
                <w:rFonts w:ascii="Times New Roman" w:hAnsi="Times New Roman" w:cs="Times New Roman"/>
                <w:color w:val="000000"/>
                <w:sz w:val="24"/>
                <w:szCs w:val="24"/>
              </w:rPr>
              <w:t>Do Nghị định quy định về trích lập dự phòng và xử lý rủi ro, nội dung phân loại nợ được tách biệt sang Dự thảo Thông tư khác nên nội dung mô tả về hồ sơ tại Điểm c Khoản 5 Điều 10 chỉ cần đề cập tới kết quả phân loại nợ. Vấn đề cấp thẩm quyền nào phê duyệt kết quả phân loại nợ này sẽ được quy định cụ thể ở Dự thảo Thông tư. Do đó, chúng tôi đề xuất điều chỉnh như sau:</w:t>
            </w:r>
          </w:p>
          <w:p w:rsidR="00C5008E" w:rsidRPr="00AF7630" w:rsidRDefault="00C5008E" w:rsidP="0001557F">
            <w:pPr>
              <w:jc w:val="both"/>
              <w:rPr>
                <w:rFonts w:ascii="Times New Roman" w:hAnsi="Times New Roman" w:cs="Times New Roman"/>
                <w:color w:val="000000"/>
                <w:sz w:val="24"/>
                <w:szCs w:val="24"/>
              </w:rPr>
            </w:pPr>
            <w:r w:rsidRPr="00AF7630">
              <w:rPr>
                <w:rFonts w:ascii="Times New Roman" w:hAnsi="Times New Roman" w:cs="Times New Roman"/>
                <w:color w:val="000000"/>
                <w:sz w:val="24"/>
                <w:szCs w:val="24"/>
              </w:rPr>
              <w:t> “</w:t>
            </w:r>
            <w:r w:rsidRPr="00AF7630">
              <w:rPr>
                <w:rFonts w:ascii="Times New Roman" w:hAnsi="Times New Roman" w:cs="Times New Roman"/>
                <w:i/>
                <w:iCs/>
                <w:color w:val="000000"/>
                <w:sz w:val="24"/>
                <w:szCs w:val="24"/>
              </w:rPr>
              <w:t>5. Hồ sơ xử lý rủi ro gồm:</w:t>
            </w:r>
          </w:p>
          <w:p w:rsidR="00C5008E" w:rsidRPr="00AF7630" w:rsidRDefault="00C5008E" w:rsidP="0001557F">
            <w:pPr>
              <w:jc w:val="both"/>
              <w:rPr>
                <w:rFonts w:ascii="Times New Roman" w:hAnsi="Times New Roman" w:cs="Times New Roman"/>
                <w:color w:val="000000"/>
                <w:sz w:val="24"/>
                <w:szCs w:val="24"/>
              </w:rPr>
            </w:pPr>
            <w:r w:rsidRPr="00AF7630">
              <w:rPr>
                <w:rFonts w:ascii="Times New Roman" w:hAnsi="Times New Roman" w:cs="Times New Roman"/>
                <w:i/>
                <w:iCs/>
                <w:color w:val="000000"/>
                <w:sz w:val="24"/>
                <w:szCs w:val="24"/>
              </w:rPr>
              <w:t>a) Hồ sơ cấp tín dụng và hồ sơ thu nợ đối với các khoản nợ được sử dụng dự phòng để xử lý rủi ro;</w:t>
            </w:r>
          </w:p>
          <w:p w:rsidR="00C5008E" w:rsidRPr="00AF7630" w:rsidRDefault="00C5008E" w:rsidP="0001557F">
            <w:pPr>
              <w:jc w:val="both"/>
              <w:rPr>
                <w:rFonts w:ascii="Times New Roman" w:hAnsi="Times New Roman" w:cs="Times New Roman"/>
                <w:color w:val="000000"/>
                <w:sz w:val="24"/>
                <w:szCs w:val="24"/>
              </w:rPr>
            </w:pPr>
            <w:r w:rsidRPr="00AF7630">
              <w:rPr>
                <w:rFonts w:ascii="Times New Roman" w:hAnsi="Times New Roman" w:cs="Times New Roman"/>
                <w:i/>
                <w:iCs/>
                <w:color w:val="000000"/>
                <w:sz w:val="24"/>
                <w:szCs w:val="24"/>
              </w:rPr>
              <w:t>b) Hồ sơ tài sản bảo đảm và các giấy tờ khác có liên quan (nếu có);</w:t>
            </w:r>
          </w:p>
          <w:p w:rsidR="00C5008E" w:rsidRPr="00AF7630" w:rsidRDefault="00C5008E" w:rsidP="0001557F">
            <w:pPr>
              <w:jc w:val="both"/>
              <w:rPr>
                <w:rFonts w:ascii="Times New Roman" w:hAnsi="Times New Roman" w:cs="Times New Roman"/>
                <w:color w:val="000000"/>
                <w:sz w:val="24"/>
                <w:szCs w:val="24"/>
              </w:rPr>
            </w:pPr>
            <w:r w:rsidRPr="00AF7630">
              <w:rPr>
                <w:rFonts w:ascii="Times New Roman" w:hAnsi="Times New Roman" w:cs="Times New Roman"/>
                <w:b/>
                <w:bCs/>
                <w:i/>
                <w:iCs/>
                <w:color w:val="000000"/>
                <w:sz w:val="24"/>
                <w:szCs w:val="24"/>
                <w:u w:val="single"/>
              </w:rPr>
              <w:t>c) Kết quả phân loại nợ, trích lập dự phòng rủi ro đối với khoản nợ được sử dụng dự phòng để xử lý rủi ro</w:t>
            </w:r>
            <w:r w:rsidRPr="00AF7630">
              <w:rPr>
                <w:rFonts w:ascii="Times New Roman" w:hAnsi="Times New Roman" w:cs="Times New Roman"/>
                <w:i/>
                <w:iCs/>
                <w:color w:val="000000"/>
                <w:sz w:val="24"/>
                <w:szCs w:val="24"/>
              </w:rPr>
              <w:t>;</w:t>
            </w:r>
          </w:p>
          <w:p w:rsidR="00C5008E" w:rsidRPr="00AF7630" w:rsidRDefault="00C5008E" w:rsidP="0001557F">
            <w:pPr>
              <w:jc w:val="both"/>
              <w:rPr>
                <w:rFonts w:ascii="Times New Roman" w:hAnsi="Times New Roman" w:cs="Times New Roman"/>
                <w:color w:val="000000"/>
                <w:sz w:val="24"/>
                <w:szCs w:val="24"/>
              </w:rPr>
            </w:pPr>
            <w:r w:rsidRPr="00AF7630">
              <w:rPr>
                <w:rFonts w:ascii="Times New Roman" w:hAnsi="Times New Roman" w:cs="Times New Roman"/>
                <w:i/>
                <w:iCs/>
                <w:color w:val="000000"/>
                <w:sz w:val="24"/>
                <w:szCs w:val="24"/>
              </w:rPr>
              <w:t>d) Quyết định hoặc phê duyệt của Hội đồng xử lý rủi ro về việc sử dụng dự phòng để xử lý rủi ro;…</w:t>
            </w:r>
            <w:r w:rsidRPr="00AF7630">
              <w:rPr>
                <w:rFonts w:ascii="Times New Roman" w:hAnsi="Times New Roman" w:cs="Times New Roman"/>
                <w:color w:val="000000"/>
                <w:sz w:val="24"/>
                <w:szCs w:val="24"/>
              </w:rPr>
              <w:t>”</w:t>
            </w:r>
          </w:p>
        </w:tc>
        <w:tc>
          <w:tcPr>
            <w:tcW w:w="2268" w:type="dxa"/>
          </w:tcPr>
          <w:p w:rsidR="00C5008E" w:rsidRPr="00AF7630" w:rsidRDefault="00C5008E" w:rsidP="0001557F">
            <w:pPr>
              <w:jc w:val="both"/>
              <w:rPr>
                <w:rFonts w:ascii="Times New Roman" w:hAnsi="Times New Roman" w:cs="Times New Roman"/>
                <w:color w:val="000000"/>
                <w:sz w:val="24"/>
                <w:szCs w:val="24"/>
                <w:lang w:val="pl-PL"/>
              </w:rPr>
            </w:pPr>
            <w:r w:rsidRPr="00AF7630">
              <w:rPr>
                <w:rFonts w:ascii="Times New Roman" w:hAnsi="Times New Roman" w:cs="Times New Roman"/>
                <w:color w:val="000000"/>
                <w:sz w:val="24"/>
                <w:szCs w:val="24"/>
                <w:lang w:val="pl-PL"/>
              </w:rPr>
              <w:t>VietCredit</w:t>
            </w:r>
          </w:p>
        </w:tc>
        <w:tc>
          <w:tcPr>
            <w:tcW w:w="4677" w:type="dxa"/>
            <w:vMerge/>
          </w:tcPr>
          <w:p w:rsidR="00C5008E" w:rsidRPr="00AF7630" w:rsidRDefault="00C5008E" w:rsidP="0001557F">
            <w:pPr>
              <w:jc w:val="both"/>
              <w:rPr>
                <w:rFonts w:ascii="Times New Roman" w:eastAsia="Times New Roman" w:hAnsi="Times New Roman" w:cs="Times New Roman"/>
                <w:sz w:val="24"/>
                <w:szCs w:val="24"/>
              </w:rPr>
            </w:pPr>
          </w:p>
        </w:tc>
      </w:tr>
      <w:tr w:rsidR="00C5008E" w:rsidRPr="00AF7630" w:rsidTr="0069372A">
        <w:tc>
          <w:tcPr>
            <w:tcW w:w="2978" w:type="dxa"/>
            <w:vMerge w:val="restart"/>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1 Điều 11 DTNĐ:</w:t>
            </w:r>
          </w:p>
          <w:p w:rsidR="00C5008E" w:rsidRPr="00AF7630" w:rsidRDefault="00C5008E"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“1. Sau thời gian tối thiểu 05 (năm) năm, kể từ ngày sử dụng dự phòng để xử lý rủi ro và sau khi đã thực hiện tất cả các biện pháp để thu hồi nợ nhưng không thu hồi được, tổ chức tín dụng, chi nhánh ngân hàng nước ngoài được quyết định xuất toán nợ đã xử lý rủi ro ra khỏi ngoại bảng.</w:t>
            </w:r>
          </w:p>
          <w:p w:rsidR="00C5008E" w:rsidRPr="00AF7630" w:rsidRDefault="00C5008E" w:rsidP="0001557F">
            <w:pPr>
              <w:jc w:val="both"/>
              <w:rPr>
                <w:rFonts w:ascii="Times New Roman" w:eastAsia="Times New Roman" w:hAnsi="Times New Roman" w:cs="Times New Roman"/>
                <w:iCs/>
                <w:sz w:val="24"/>
                <w:szCs w:val="24"/>
              </w:rPr>
            </w:pPr>
            <w:r w:rsidRPr="00AF7630">
              <w:rPr>
                <w:rFonts w:ascii="Times New Roman" w:eastAsia="Times New Roman" w:hAnsi="Times New Roman" w:cs="Times New Roman"/>
                <w:i/>
                <w:iCs/>
                <w:sz w:val="24"/>
                <w:szCs w:val="24"/>
              </w:rPr>
              <w:t xml:space="preserve">Các khoản nợ được xuất toán ra khỏi ngoại bảng phải theo dõi trong hệ thống quản trị của tổ chức tín dụng, chi nhánh ngân hàng nước ngoài theo quy định về trích lập và xử lý các khoản dự phòng giảm giá hàng tồn kho, tổn thất các khoản đầu tư, nợ phải thu khó đòi và bảo hành sản phẩm hàng hóa dịch vụ công trình xây dựng tại doanh nghiệp trong thời hạn tối thiểu là 10 (mười) năm kể từ ngày </w:t>
            </w:r>
            <w:r w:rsidRPr="00AF7630">
              <w:rPr>
                <w:rFonts w:ascii="Times New Roman" w:eastAsia="Times New Roman" w:hAnsi="Times New Roman" w:cs="Times New Roman"/>
                <w:i/>
                <w:iCs/>
                <w:sz w:val="24"/>
                <w:szCs w:val="24"/>
              </w:rPr>
              <w:lastRenderedPageBreak/>
              <w:t>quyết định xuất toán nợ đã xử lý rủi ro ra khỏi ngoại bảng, trừ các khoản nợ mà khách hàng là tổ chức đã phá sản, giải thể theo quy định của pháp luật và sau khi thanh lý, xử lý toàn bộ tài sản hoặc khách hàng là cá nhân đã chết, bị tuyên bố mất tích theo quyết định của Tòa án và đã xử lý xong di sản, nghĩa vụ của người này theo quy định của pháp luật.</w:t>
            </w:r>
            <w:r w:rsidRPr="00AF7630">
              <w:rPr>
                <w:rFonts w:ascii="Times New Roman" w:eastAsia="Times New Roman" w:hAnsi="Times New Roman" w:cs="Times New Roman"/>
                <w:i/>
                <w:sz w:val="24"/>
                <w:szCs w:val="24"/>
              </w:rPr>
              <w:t>”</w:t>
            </w:r>
          </w:p>
        </w:tc>
        <w:tc>
          <w:tcPr>
            <w:tcW w:w="5953" w:type="dxa"/>
          </w:tcPr>
          <w:p w:rsidR="00C5008E" w:rsidRPr="00AF7630" w:rsidRDefault="00C5008E" w:rsidP="0001557F">
            <w:pPr>
              <w:jc w:val="both"/>
              <w:rPr>
                <w:rFonts w:ascii="Times New Roman" w:hAnsi="Times New Roman" w:cs="Times New Roman"/>
                <w:spacing w:val="-2"/>
                <w:sz w:val="24"/>
                <w:szCs w:val="24"/>
              </w:rPr>
            </w:pPr>
            <w:r w:rsidRPr="00AF7630">
              <w:rPr>
                <w:rFonts w:ascii="Times New Roman" w:hAnsi="Times New Roman" w:cs="Times New Roman"/>
                <w:spacing w:val="-2"/>
                <w:sz w:val="24"/>
                <w:szCs w:val="24"/>
              </w:rPr>
              <w:lastRenderedPageBreak/>
              <w:t>Đề nghị bổ sung hướng dẫn làm rõ cụm từ </w:t>
            </w:r>
            <w:r w:rsidRPr="00AF7630">
              <w:rPr>
                <w:rFonts w:ascii="Times New Roman" w:hAnsi="Times New Roman" w:cs="Times New Roman"/>
                <w:i/>
                <w:iCs/>
                <w:spacing w:val="-2"/>
                <w:sz w:val="24"/>
                <w:szCs w:val="24"/>
              </w:rPr>
              <w:t>“tất cả các biện pháp để thu hồi nợ nhưng không thu hồi được” </w:t>
            </w:r>
            <w:r w:rsidRPr="00AF7630">
              <w:rPr>
                <w:rFonts w:ascii="Times New Roman" w:hAnsi="Times New Roman" w:cs="Times New Roman"/>
                <w:spacing w:val="-2"/>
                <w:sz w:val="24"/>
                <w:szCs w:val="24"/>
              </w:rPr>
              <w:t>là bao gồm các biện pháp cụ thể nào để TCTD có cơ sở, căn cứ thực hiện đầy đủ, đúng theo quy định pháp luật.</w:t>
            </w:r>
          </w:p>
        </w:tc>
        <w:tc>
          <w:tcPr>
            <w:tcW w:w="2268" w:type="dxa"/>
          </w:tcPr>
          <w:p w:rsidR="00C5008E" w:rsidRPr="00AF7630" w:rsidRDefault="00C5008E">
            <w:pPr>
              <w:jc w:val="both"/>
              <w:rPr>
                <w:rFonts w:ascii="Times New Roman" w:eastAsia="Times New Roman" w:hAnsi="Times New Roman" w:cs="Times New Roman"/>
                <w:sz w:val="24"/>
                <w:szCs w:val="24"/>
              </w:rPr>
            </w:pPr>
            <w:r w:rsidRPr="00AF7630">
              <w:rPr>
                <w:rFonts w:ascii="Times New Roman" w:hAnsi="Times New Roman" w:cs="Times New Roman"/>
                <w:spacing w:val="-2"/>
                <w:sz w:val="24"/>
                <w:szCs w:val="24"/>
              </w:rPr>
              <w:t>Eximbank</w:t>
            </w:r>
            <w:r w:rsidRPr="00AF7630" w:rsidDel="001756CA">
              <w:rPr>
                <w:rFonts w:ascii="Times New Roman" w:hAnsi="Times New Roman" w:cs="Times New Roman"/>
                <w:spacing w:val="-2"/>
                <w:sz w:val="24"/>
                <w:szCs w:val="24"/>
              </w:rPr>
              <w:t xml:space="preserve"> </w:t>
            </w:r>
          </w:p>
        </w:tc>
        <w:tc>
          <w:tcPr>
            <w:tcW w:w="4677" w:type="dxa"/>
            <w:vMerge w:val="restart"/>
          </w:tcPr>
          <w:p w:rsidR="00C5008E" w:rsidRPr="00AF7630" w:rsidRDefault="00C5008E"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DTTT giữ nguyên nội dung này, theo đó TCTD tự xem xét quyết định về việc đã thực hiện tất cả các biện pháp thu hồi nợ nhưng không thu hồi được, phù hợp thực tế và các quy định của pháp luật liên quan.</w:t>
            </w:r>
          </w:p>
        </w:tc>
      </w:tr>
      <w:tr w:rsidR="00C5008E" w:rsidRPr="00AF7630" w:rsidTr="0069372A">
        <w:tc>
          <w:tcPr>
            <w:tcW w:w="2978" w:type="dxa"/>
            <w:vMerge/>
          </w:tcPr>
          <w:p w:rsidR="00C5008E" w:rsidRPr="00AF7630" w:rsidRDefault="00C5008E" w:rsidP="0001557F">
            <w:pPr>
              <w:jc w:val="both"/>
              <w:rPr>
                <w:rFonts w:ascii="Times New Roman" w:eastAsia="Times New Roman" w:hAnsi="Times New Roman" w:cs="Times New Roman"/>
                <w:sz w:val="24"/>
                <w:szCs w:val="24"/>
              </w:rPr>
            </w:pPr>
          </w:p>
        </w:tc>
        <w:tc>
          <w:tcPr>
            <w:tcW w:w="5953" w:type="dxa"/>
          </w:tcPr>
          <w:p w:rsidR="00C5008E" w:rsidRPr="00AF7630" w:rsidDel="002A6386" w:rsidRDefault="00C5008E" w:rsidP="0001557F">
            <w:pPr>
              <w:jc w:val="both"/>
              <w:rPr>
                <w:rFonts w:ascii="Times New Roman" w:hAnsi="Times New Roman" w:cs="Times New Roman"/>
                <w:spacing w:val="-2"/>
                <w:sz w:val="24"/>
                <w:szCs w:val="24"/>
              </w:rPr>
            </w:pPr>
            <w:r w:rsidRPr="00AF7630">
              <w:rPr>
                <w:rFonts w:ascii="Times New Roman" w:hAnsi="Times New Roman" w:cs="Times New Roman"/>
                <w:spacing w:val="-2"/>
                <w:sz w:val="24"/>
                <w:szCs w:val="24"/>
              </w:rPr>
              <w:t xml:space="preserve">Đề nghị sửa đổi thành </w:t>
            </w:r>
            <w:r w:rsidRPr="00AF7630">
              <w:rPr>
                <w:rFonts w:ascii="Times New Roman" w:hAnsi="Times New Roman" w:cs="Times New Roman"/>
                <w:i/>
                <w:iCs/>
                <w:spacing w:val="-2"/>
                <w:sz w:val="24"/>
                <w:szCs w:val="24"/>
              </w:rPr>
              <w:t>“.. sau khi đã thực hiện</w:t>
            </w:r>
            <w:r w:rsidRPr="00AF7630">
              <w:rPr>
                <w:rFonts w:ascii="Times New Roman" w:hAnsi="Times New Roman" w:cs="Times New Roman"/>
                <w:i/>
                <w:iCs/>
                <w:spacing w:val="-2"/>
                <w:sz w:val="24"/>
                <w:szCs w:val="24"/>
                <w:u w:val="single"/>
              </w:rPr>
              <w:t xml:space="preserve"> các biện pháp xử lý nợ theo quy định nội bộ</w:t>
            </w:r>
            <w:r w:rsidRPr="00AF7630">
              <w:rPr>
                <w:rFonts w:ascii="Times New Roman" w:hAnsi="Times New Roman" w:cs="Times New Roman"/>
                <w:i/>
                <w:iCs/>
                <w:spacing w:val="-2"/>
                <w:sz w:val="24"/>
                <w:szCs w:val="24"/>
              </w:rPr>
              <w:t xml:space="preserve"> nhưng không thu hồi được,….” </w:t>
            </w:r>
            <w:r w:rsidRPr="00AF7630">
              <w:rPr>
                <w:rFonts w:ascii="Times New Roman" w:hAnsi="Times New Roman" w:cs="Times New Roman"/>
                <w:spacing w:val="-2"/>
                <w:sz w:val="24"/>
                <w:szCs w:val="24"/>
              </w:rPr>
              <w:t xml:space="preserve">do chưa có khái niệm thống nhất về </w:t>
            </w:r>
            <w:r w:rsidRPr="00AF7630">
              <w:rPr>
                <w:rFonts w:ascii="Times New Roman" w:hAnsi="Times New Roman" w:cs="Times New Roman"/>
                <w:i/>
                <w:spacing w:val="-2"/>
                <w:sz w:val="24"/>
                <w:szCs w:val="24"/>
              </w:rPr>
              <w:t>“tất cả các biện pháp để thu hồi nợ”</w:t>
            </w:r>
            <w:r w:rsidRPr="00AF7630">
              <w:rPr>
                <w:rFonts w:ascii="Times New Roman" w:hAnsi="Times New Roman" w:cs="Times New Roman"/>
                <w:spacing w:val="-2"/>
                <w:sz w:val="24"/>
                <w:szCs w:val="24"/>
              </w:rPr>
              <w:t>, có thể dẫn đến cách hiểu theo quan điểm cá nhân không đồng nhất.</w:t>
            </w:r>
          </w:p>
        </w:tc>
        <w:tc>
          <w:tcPr>
            <w:tcW w:w="2268" w:type="dxa"/>
          </w:tcPr>
          <w:p w:rsidR="00C5008E" w:rsidRPr="00AF7630" w:rsidRDefault="00C5008E" w:rsidP="0001557F">
            <w:pPr>
              <w:jc w:val="both"/>
              <w:rPr>
                <w:rFonts w:ascii="Times New Roman" w:hAnsi="Times New Roman" w:cs="Times New Roman"/>
                <w:spacing w:val="-2"/>
                <w:sz w:val="24"/>
                <w:szCs w:val="24"/>
              </w:rPr>
            </w:pPr>
            <w:r w:rsidRPr="00AF7630">
              <w:rPr>
                <w:rFonts w:ascii="Times New Roman" w:hAnsi="Times New Roman" w:cs="Times New Roman"/>
                <w:spacing w:val="-2"/>
                <w:sz w:val="24"/>
                <w:szCs w:val="24"/>
              </w:rPr>
              <w:t xml:space="preserve">Quân đội, GPBank </w:t>
            </w:r>
          </w:p>
        </w:tc>
        <w:tc>
          <w:tcPr>
            <w:tcW w:w="4677" w:type="dxa"/>
            <w:vMerge/>
          </w:tcPr>
          <w:p w:rsidR="00C5008E" w:rsidRPr="00AF7630" w:rsidRDefault="00C5008E" w:rsidP="0001557F">
            <w:pPr>
              <w:jc w:val="both"/>
              <w:rPr>
                <w:rFonts w:ascii="Times New Roman" w:eastAsia="Times New Roman" w:hAnsi="Times New Roman" w:cs="Times New Roman"/>
                <w:sz w:val="24"/>
                <w:szCs w:val="24"/>
              </w:rPr>
            </w:pPr>
          </w:p>
        </w:tc>
      </w:tr>
      <w:tr w:rsidR="004758A5" w:rsidRPr="00AF7630" w:rsidTr="0069372A">
        <w:tc>
          <w:tcPr>
            <w:tcW w:w="2978"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2 Điều 11 DTNĐ:</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“2. Đối với ngân hàng thương mại mà Nhà nước sở hữu trên 50% vốn điều lệ, tổng số cổ phần có quyền biểu quyết, việc xuất toán nợ ra khỏi ngoại bảng quy định tại khoản 1 Điều này chỉ được thực hiện khi đáp ứng các điều kiện sau đây:</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a) Có hồ sơ, tài liệu chứng minh đã thực hiện tất cả các biện pháp thu hồi nợ nhưng không thu được nợ;</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b) Phải được Ngân hàng Nhà nước phê duyệt bằng văn bản sau khi có ý kiến của Bộ Tài chính.</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c) Phải được Đại hội đồng cổ đông, Hội đồng thành viên thông qua.”</w:t>
            </w:r>
          </w:p>
        </w:tc>
        <w:tc>
          <w:tcPr>
            <w:tcW w:w="5953" w:type="dxa"/>
          </w:tcPr>
          <w:p w:rsidR="004758A5" w:rsidRPr="00AF7630" w:rsidRDefault="004758A5" w:rsidP="00D015CD">
            <w:pPr>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Đề nghị  làm rõ trình tự thực hiện. TCTD cần phải  ĐHĐCĐ thông qua sau đó mới trình NHNN và Bộ tài chính phê duyệt hay ngược lại?</w:t>
            </w:r>
          </w:p>
          <w:p w:rsidR="004758A5" w:rsidRPr="00AF7630" w:rsidRDefault="004758A5" w:rsidP="00D015CD">
            <w:pPr>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t xml:space="preserve">Quy định " Phải được Ngân hàng Nhà nước phê duyệt bằng văn bản sau khi có ý kiến của Bộ Tài chính"  có được hiểu là các NĐDV tại TCTD do nhà nước nắm giữ trên 50% VĐL xin ý kiến NHNN trước khi bỏ phiếu tại DHĐCĐ không? Hay TCTD 50% vốn phải trình NHNN. </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color w:val="000000"/>
                <w:sz w:val="24"/>
                <w:szCs w:val="24"/>
              </w:rPr>
              <w:t>Nếu đúng thì nên viết lại: thẩm quyền xuất toán là ĐHĐCĐ/HĐTV. Các NĐDV tại NHTM do Nhà nước nắm giữ trên 50% VĐL phải xin ý kiến NHNN trước khi biểu quyết tại ĐHĐCĐ. NHNN phê duyệt sau khi có ý kiến của Bộ Tài chính.</w:t>
            </w:r>
          </w:p>
        </w:tc>
        <w:tc>
          <w:tcPr>
            <w:tcW w:w="2268"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color w:val="000000"/>
                <w:sz w:val="24"/>
                <w:szCs w:val="24"/>
              </w:rPr>
              <w:t>VietinBank</w:t>
            </w:r>
          </w:p>
        </w:tc>
        <w:tc>
          <w:tcPr>
            <w:tcW w:w="4677"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Dự thảo Nghị định quy định việc xuất toán nợ ra khỏi ngoại bảng của ngân hàng thương mại mà Nhà nước sở hữu trên 50% vốn điều lệ, tổng số cổ phần có quyền biểu quyết phải được NHNN phê duyệt bằng văn bản sau khi có ý kiến của Bộ Tài chính được xây dựng trên cơ sở kế thừa Thông tư 11 và việc phê duyệt của NHNN thực hiện với vai trò là chủ sở hữu của TCTD do liên quan đến vốn nhà nước. </w:t>
            </w:r>
          </w:p>
          <w:p w:rsidR="004758A5" w:rsidRPr="00AF7630" w:rsidRDefault="004758A5"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TCTD đáp ứng đủ các điều kiện quy định tại dự thảo Nghị định thì được thực hiện việc xuất toán nợ ra khỏi ngoại bảng.</w:t>
            </w:r>
          </w:p>
        </w:tc>
      </w:tr>
      <w:tr w:rsidR="004758A5" w:rsidRPr="00AF7630" w:rsidTr="0069372A">
        <w:tc>
          <w:tcPr>
            <w:tcW w:w="2978" w:type="dxa"/>
          </w:tcPr>
          <w:p w:rsidR="004758A5" w:rsidRPr="00AF7630" w:rsidRDefault="004758A5" w:rsidP="0001557F">
            <w:pPr>
              <w:jc w:val="both"/>
              <w:rPr>
                <w:rFonts w:ascii="Times New Roman" w:eastAsia="Times New Roman" w:hAnsi="Times New Roman" w:cs="Times New Roman"/>
                <w:iCs/>
                <w:sz w:val="24"/>
                <w:szCs w:val="24"/>
              </w:rPr>
            </w:pPr>
            <w:r w:rsidRPr="00AF7630">
              <w:rPr>
                <w:rFonts w:ascii="Times New Roman" w:eastAsia="Times New Roman" w:hAnsi="Times New Roman" w:cs="Times New Roman"/>
                <w:iCs/>
                <w:sz w:val="24"/>
                <w:szCs w:val="24"/>
              </w:rPr>
              <w:t>Khoản 7 Điều 11 DTNĐ:</w:t>
            </w:r>
          </w:p>
          <w:p w:rsidR="004758A5" w:rsidRPr="00AF7630" w:rsidRDefault="004758A5"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 xml:space="preserve">“7. Hồ sơ xuất toán nợ ra </w:t>
            </w:r>
            <w:r w:rsidRPr="00AF7630">
              <w:rPr>
                <w:rFonts w:ascii="Times New Roman" w:eastAsia="Times New Roman" w:hAnsi="Times New Roman" w:cs="Times New Roman"/>
                <w:i/>
                <w:iCs/>
                <w:sz w:val="24"/>
                <w:szCs w:val="24"/>
              </w:rPr>
              <w:lastRenderedPageBreak/>
              <w:t>khỏi ngoại bảng quy định tại khoản 1 Điều này gồm:</w:t>
            </w:r>
          </w:p>
          <w:p w:rsidR="004758A5" w:rsidRPr="00AF7630" w:rsidRDefault="004758A5"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 xml:space="preserve">a) Hồ sơ xử lý rủi ro quy định tại </w:t>
            </w:r>
            <w:bookmarkStart w:id="9" w:name="tc_32"/>
            <w:r w:rsidRPr="00AF7630">
              <w:rPr>
                <w:rFonts w:ascii="Times New Roman" w:eastAsia="Times New Roman" w:hAnsi="Times New Roman" w:cs="Times New Roman"/>
                <w:i/>
                <w:iCs/>
                <w:sz w:val="24"/>
                <w:szCs w:val="24"/>
              </w:rPr>
              <w:t>khoản 4 Điều 10 Nghị định này</w:t>
            </w:r>
            <w:bookmarkEnd w:id="9"/>
            <w:r w:rsidRPr="00AF7630">
              <w:rPr>
                <w:rFonts w:ascii="Times New Roman" w:eastAsia="Times New Roman" w:hAnsi="Times New Roman" w:cs="Times New Roman"/>
                <w:i/>
                <w:iCs/>
                <w:sz w:val="24"/>
                <w:szCs w:val="24"/>
              </w:rPr>
              <w:t>;</w:t>
            </w:r>
          </w:p>
          <w:p w:rsidR="004758A5" w:rsidRPr="00AF7630" w:rsidRDefault="004758A5"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b) Quyết định hoặc phê duyệt của tổ chức tín dụng, chi nhánh ngân hàng nước ngoài về việc xuất toán khỏi ngoại bảng đối với nợ đã sử dụng dự phòng để xử lý rủi ro;</w:t>
            </w:r>
          </w:p>
          <w:p w:rsidR="004758A5" w:rsidRPr="00AF7630" w:rsidRDefault="004758A5"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c) Quyết định hoặc phê duyệt các biện pháp thu hồi nợ đối với khoản nợ đã được sử dụng dự phòng để xử lý rủi ro;</w:t>
            </w:r>
          </w:p>
          <w:p w:rsidR="004758A5" w:rsidRPr="00AF7630" w:rsidRDefault="004758A5" w:rsidP="0001557F">
            <w:pPr>
              <w:jc w:val="both"/>
              <w:rPr>
                <w:rFonts w:ascii="Times New Roman" w:eastAsia="Times New Roman" w:hAnsi="Times New Roman" w:cs="Times New Roman"/>
                <w:i/>
                <w:iCs/>
                <w:sz w:val="24"/>
                <w:szCs w:val="24"/>
              </w:rPr>
            </w:pPr>
            <w:r w:rsidRPr="00AF7630">
              <w:rPr>
                <w:rFonts w:ascii="Times New Roman" w:eastAsia="Times New Roman" w:hAnsi="Times New Roman" w:cs="Times New Roman"/>
                <w:i/>
                <w:iCs/>
                <w:sz w:val="24"/>
                <w:szCs w:val="24"/>
              </w:rPr>
              <w:t>d) Tài liệu chứng minh đã thực hiện tất cả các biện pháp để thu hồi nợ nhưng không thu hồi được, phù hợp thực tế và các quy định của pháp luật liên quan.</w:t>
            </w:r>
          </w:p>
          <w:p w:rsidR="004758A5" w:rsidRPr="00AF7630" w:rsidRDefault="004758A5" w:rsidP="0001557F">
            <w:pPr>
              <w:jc w:val="both"/>
              <w:rPr>
                <w:rFonts w:ascii="Times New Roman" w:eastAsia="Times New Roman" w:hAnsi="Times New Roman" w:cs="Times New Roman"/>
                <w:iCs/>
                <w:sz w:val="24"/>
                <w:szCs w:val="24"/>
              </w:rPr>
            </w:pPr>
            <w:r w:rsidRPr="00AF7630">
              <w:rPr>
                <w:rFonts w:ascii="Times New Roman" w:eastAsia="Times New Roman" w:hAnsi="Times New Roman" w:cs="Times New Roman"/>
                <w:i/>
                <w:iCs/>
                <w:sz w:val="24"/>
                <w:szCs w:val="24"/>
              </w:rPr>
              <w:t>Hồ sơ xuất toán nợ đã xử lý rủi ro ra khỏi ngoại bảng phải được tổ chức tín dụng, chi nhánh ngân hàng nước ngoài lưu giữ theo quy định của pháp luật.”</w:t>
            </w:r>
          </w:p>
        </w:tc>
        <w:tc>
          <w:tcPr>
            <w:tcW w:w="5953"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 xml:space="preserve">Sửa đổi điểm a khoản 7 Điều 11 dự thảo Nghị định như sau: </w:t>
            </w:r>
            <w:r w:rsidRPr="00AF7630">
              <w:rPr>
                <w:rFonts w:ascii="Times New Roman" w:eastAsia="Times New Roman" w:hAnsi="Times New Roman" w:cs="Times New Roman"/>
                <w:i/>
                <w:sz w:val="24"/>
                <w:szCs w:val="24"/>
              </w:rPr>
              <w:t xml:space="preserve">“a) Hồ sơ xử lý rủi ro quy định tại khoản 5 Điều 10 </w:t>
            </w:r>
            <w:r w:rsidRPr="00AF7630">
              <w:rPr>
                <w:rFonts w:ascii="Times New Roman" w:eastAsia="Times New Roman" w:hAnsi="Times New Roman" w:cs="Times New Roman"/>
                <w:i/>
                <w:sz w:val="24"/>
                <w:szCs w:val="24"/>
              </w:rPr>
              <w:lastRenderedPageBreak/>
              <w:t>Nghị định này;”</w:t>
            </w:r>
            <w:r w:rsidRPr="00AF7630">
              <w:rPr>
                <w:rFonts w:ascii="Times New Roman" w:eastAsia="Times New Roman" w:hAnsi="Times New Roman" w:cs="Times New Roman"/>
                <w:sz w:val="24"/>
                <w:szCs w:val="24"/>
              </w:rPr>
              <w:t xml:space="preserve"> </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Theo đó, Ngân hàng Nhà nước chi nhánh đề xuất sửa đổi cụm từ </w:t>
            </w:r>
            <w:r w:rsidRPr="00AF7630">
              <w:rPr>
                <w:rFonts w:ascii="Times New Roman" w:eastAsia="Times New Roman" w:hAnsi="Times New Roman" w:cs="Times New Roman"/>
                <w:i/>
                <w:sz w:val="24"/>
                <w:szCs w:val="24"/>
              </w:rPr>
              <w:t>“khoản 4”</w:t>
            </w:r>
            <w:r w:rsidRPr="00AF7630">
              <w:rPr>
                <w:rFonts w:ascii="Times New Roman" w:eastAsia="Times New Roman" w:hAnsi="Times New Roman" w:cs="Times New Roman"/>
                <w:sz w:val="24"/>
                <w:szCs w:val="24"/>
              </w:rPr>
              <w:t xml:space="preserve"> thành </w:t>
            </w:r>
            <w:r w:rsidRPr="00AF7630">
              <w:rPr>
                <w:rFonts w:ascii="Times New Roman" w:eastAsia="Times New Roman" w:hAnsi="Times New Roman" w:cs="Times New Roman"/>
                <w:i/>
                <w:sz w:val="24"/>
                <w:szCs w:val="24"/>
              </w:rPr>
              <w:t>“khoản 5”</w:t>
            </w:r>
            <w:r w:rsidRPr="00AF7630">
              <w:rPr>
                <w:rFonts w:ascii="Times New Roman" w:eastAsia="Times New Roman" w:hAnsi="Times New Roman" w:cs="Times New Roman"/>
                <w:sz w:val="24"/>
                <w:szCs w:val="24"/>
              </w:rPr>
              <w:t xml:space="preserve"> để phù hợp với nội dung tại dự thảo Nghị định</w:t>
            </w:r>
          </w:p>
        </w:tc>
        <w:tc>
          <w:tcPr>
            <w:tcW w:w="2268"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NHHTX, Agribank</w:t>
            </w:r>
          </w:p>
          <w:p w:rsidR="004758A5" w:rsidRPr="00AF7630" w:rsidRDefault="004758A5" w:rsidP="0001557F">
            <w:pPr>
              <w:jc w:val="both"/>
              <w:rPr>
                <w:rFonts w:ascii="Times New Roman" w:eastAsia="Times New Roman" w:hAnsi="Times New Roman" w:cs="Times New Roman"/>
                <w:sz w:val="24"/>
                <w:szCs w:val="24"/>
              </w:rPr>
            </w:pPr>
          </w:p>
        </w:tc>
        <w:tc>
          <w:tcPr>
            <w:tcW w:w="4677" w:type="dxa"/>
          </w:tcPr>
          <w:p w:rsidR="004758A5" w:rsidRPr="00AF7630" w:rsidRDefault="004758A5" w:rsidP="00AF7630">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chỉnh sửa trích dẫn tại dự thảo Nghị định</w:t>
            </w:r>
          </w:p>
        </w:tc>
      </w:tr>
      <w:tr w:rsidR="004758A5" w:rsidRPr="00AF7630" w:rsidTr="0069372A">
        <w:tc>
          <w:tcPr>
            <w:tcW w:w="2978" w:type="dxa"/>
            <w:vMerge w:val="restart"/>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Điều 12 DTNĐ:</w:t>
            </w:r>
          </w:p>
          <w:p w:rsidR="004758A5" w:rsidRPr="00AF7630" w:rsidRDefault="004758A5" w:rsidP="0001557F">
            <w:pPr>
              <w:jc w:val="both"/>
              <w:rPr>
                <w:rFonts w:ascii="Times New Roman" w:eastAsia="Times New Roman" w:hAnsi="Times New Roman" w:cs="Times New Roman"/>
                <w:b/>
                <w:i/>
                <w:sz w:val="24"/>
                <w:szCs w:val="24"/>
                <w:lang w:val="vi-VN"/>
              </w:rPr>
            </w:pPr>
            <w:r w:rsidRPr="00AF7630">
              <w:rPr>
                <w:rFonts w:ascii="Times New Roman" w:eastAsia="Times New Roman" w:hAnsi="Times New Roman" w:cs="Times New Roman"/>
                <w:i/>
                <w:sz w:val="24"/>
                <w:szCs w:val="24"/>
              </w:rPr>
              <w:t>“</w:t>
            </w:r>
            <w:bookmarkStart w:id="10" w:name="dieu_18"/>
            <w:r w:rsidRPr="00AF7630">
              <w:rPr>
                <w:rFonts w:ascii="Times New Roman" w:eastAsia="Times New Roman" w:hAnsi="Times New Roman" w:cs="Times New Roman"/>
                <w:b/>
                <w:i/>
                <w:sz w:val="24"/>
                <w:szCs w:val="24"/>
                <w:lang w:val="vi-VN"/>
              </w:rPr>
              <w:t>Điều 1</w:t>
            </w:r>
            <w:r w:rsidRPr="00AF7630">
              <w:rPr>
                <w:rFonts w:ascii="Times New Roman" w:eastAsia="Times New Roman" w:hAnsi="Times New Roman" w:cs="Times New Roman"/>
                <w:b/>
                <w:i/>
                <w:sz w:val="24"/>
                <w:szCs w:val="24"/>
              </w:rPr>
              <w:t>2</w:t>
            </w:r>
            <w:r w:rsidRPr="00AF7630">
              <w:rPr>
                <w:rFonts w:ascii="Times New Roman" w:eastAsia="Times New Roman" w:hAnsi="Times New Roman" w:cs="Times New Roman"/>
                <w:b/>
                <w:i/>
                <w:sz w:val="24"/>
                <w:szCs w:val="24"/>
                <w:lang w:val="vi-VN"/>
              </w:rPr>
              <w:t>. Nguyên tắc xử lý trong trường hợp có bằng chứng chắc chắn chứng minh tổn thất về tài sản đối với khoản nợ</w:t>
            </w:r>
            <w:bookmarkEnd w:id="10"/>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Trong quá trình hoạt động, bao gồm cả trường hợp quy </w:t>
            </w:r>
            <w:r w:rsidRPr="00AF7630">
              <w:rPr>
                <w:rFonts w:ascii="Times New Roman" w:eastAsia="Times New Roman" w:hAnsi="Times New Roman" w:cs="Times New Roman"/>
                <w:i/>
                <w:sz w:val="24"/>
                <w:szCs w:val="24"/>
              </w:rPr>
              <w:lastRenderedPageBreak/>
              <w:t xml:space="preserve">định tại </w:t>
            </w:r>
            <w:bookmarkStart w:id="11" w:name="tc_33"/>
            <w:r w:rsidRPr="00AF7630">
              <w:rPr>
                <w:rFonts w:ascii="Times New Roman" w:eastAsia="Times New Roman" w:hAnsi="Times New Roman" w:cs="Times New Roman"/>
                <w:i/>
                <w:sz w:val="24"/>
                <w:szCs w:val="24"/>
              </w:rPr>
              <w:t>Điều 10, Điều 11 Nghị định này</w:t>
            </w:r>
            <w:bookmarkEnd w:id="11"/>
            <w:r w:rsidRPr="00AF7630">
              <w:rPr>
                <w:rFonts w:ascii="Times New Roman" w:eastAsia="Times New Roman" w:hAnsi="Times New Roman" w:cs="Times New Roman"/>
                <w:i/>
                <w:sz w:val="24"/>
                <w:szCs w:val="24"/>
              </w:rPr>
              <w:t>, trường hợp có bằng chứng chắc chắn chứng minh tổn thất về tài sản đối với khoản nợ, tổ chức tín dụng, chi nhánh ngân hàng nước ngoài xử lý theo nguyên tắc như sau:</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1. Xử lý tài sản bảo đảm theo thỏa thuận của các bên phù hợp với quy định của pháp luật, trừ trường hợp quy định tại </w:t>
            </w:r>
            <w:bookmarkStart w:id="12" w:name="tc_34"/>
            <w:r w:rsidRPr="00AF7630">
              <w:rPr>
                <w:rFonts w:ascii="Times New Roman" w:eastAsia="Times New Roman" w:hAnsi="Times New Roman" w:cs="Times New Roman"/>
                <w:i/>
                <w:sz w:val="24"/>
                <w:szCs w:val="24"/>
              </w:rPr>
              <w:t>điểm a khoản 2 Điều 10 Nghị định này</w:t>
            </w:r>
            <w:bookmarkEnd w:id="12"/>
            <w:r w:rsidRPr="00AF7630">
              <w:rPr>
                <w:rFonts w:ascii="Times New Roman" w:eastAsia="Times New Roman" w:hAnsi="Times New Roman" w:cs="Times New Roman"/>
                <w:i/>
                <w:sz w:val="24"/>
                <w:szCs w:val="24"/>
              </w:rPr>
              <w:t>.</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2. Xác định nguyên nhân, trách nhiệm và xử lý như sau:</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a) Trường hợp do nguyên nhân chủ quan thì người gây ra tổn thất phải bồi thường. Thẩm quyền quyết định mức bồi thường thực hiện theo Điều lệ của tổ chức tín dụng, chi nhánh ngân hàng nước ngoài. Việc xử lý trách nhiệm của người gây ra tổn thất thực hiện theo quy định của pháp luật;</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b) Trường hợp tài sản đã mua bảo hiểm thì xử lý theo hợp đồng bảo hiểm;</w:t>
            </w:r>
          </w:p>
          <w:p w:rsidR="004758A5" w:rsidRPr="00AF7630" w:rsidRDefault="004758A5"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c) Sử dụng khoản dự phòng được trích lập trong chi phí để bù đắp theo quy định của pháp luật, trừ trường hợp quy định tại </w:t>
            </w:r>
            <w:bookmarkStart w:id="13" w:name="tc_35"/>
            <w:r w:rsidRPr="00AF7630">
              <w:rPr>
                <w:rFonts w:ascii="Times New Roman" w:eastAsia="Times New Roman" w:hAnsi="Times New Roman" w:cs="Times New Roman"/>
                <w:i/>
                <w:sz w:val="24"/>
                <w:szCs w:val="24"/>
              </w:rPr>
              <w:t xml:space="preserve">khoản 2 Điều </w:t>
            </w:r>
            <w:r w:rsidRPr="00AF7630">
              <w:rPr>
                <w:rFonts w:ascii="Times New Roman" w:eastAsia="Times New Roman" w:hAnsi="Times New Roman" w:cs="Times New Roman"/>
                <w:i/>
                <w:sz w:val="24"/>
                <w:szCs w:val="24"/>
              </w:rPr>
              <w:lastRenderedPageBreak/>
              <w:t>10 Nghị định này</w:t>
            </w:r>
            <w:bookmarkEnd w:id="13"/>
            <w:r w:rsidRPr="00AF7630">
              <w:rPr>
                <w:rFonts w:ascii="Times New Roman" w:eastAsia="Times New Roman" w:hAnsi="Times New Roman" w:cs="Times New Roman"/>
                <w:i/>
                <w:sz w:val="24"/>
                <w:szCs w:val="24"/>
              </w:rPr>
              <w:t>;</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d) Giá trị tổn thất sau khi đã bù đắp bằng tiền bồi thường của cá nhân, tập thể, tổ chức bảo hiểm và sử dụng dự phòng được trích lập trong chi phí, trường hợp thiếu được bù đắp bằng quỹ dự phòng tài chính của tổ chức tín dụng, chi nhánh ngân hàng nước ngoài. Trường hợp quỹ dự phòng tài chính không đủ bù đắp thì phần thiếu được hạch toán vào chi phí khác trong cùng kỳ kế toán.”</w:t>
            </w:r>
          </w:p>
        </w:tc>
        <w:tc>
          <w:tcPr>
            <w:tcW w:w="5953" w:type="dxa"/>
          </w:tcPr>
          <w:p w:rsidR="004758A5" w:rsidRPr="00AF7630" w:rsidRDefault="004758A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 xml:space="preserve">- Đề nghị sửa: Trong quá trình hoạt động, bao gồm cả trường hợp quy định tại </w:t>
            </w:r>
            <w:r w:rsidRPr="00AF7630">
              <w:rPr>
                <w:rFonts w:ascii="Times New Roman" w:eastAsia="Times New Roman" w:hAnsi="Times New Roman" w:cs="Times New Roman"/>
                <w:b/>
                <w:bCs/>
                <w:sz w:val="24"/>
                <w:szCs w:val="24"/>
              </w:rPr>
              <w:t>Điều 10</w:t>
            </w:r>
            <w:r w:rsidRPr="00AF7630">
              <w:rPr>
                <w:rFonts w:ascii="Times New Roman" w:eastAsia="Times New Roman" w:hAnsi="Times New Roman" w:cs="Times New Roman"/>
                <w:bCs/>
                <w:sz w:val="24"/>
                <w:szCs w:val="24"/>
              </w:rPr>
              <w:t xml:space="preserve"> Nghị định này,… (bỏ Điều 11. Theo dõi nợ đã sử dụng dự phòng để xử lý rủi ro và xuất toán khỏi ngoại bảng).</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Tại </w:t>
            </w:r>
            <w:r w:rsidRPr="00AF7630">
              <w:rPr>
                <w:rFonts w:ascii="Times New Roman" w:eastAsia="Times New Roman" w:hAnsi="Times New Roman" w:cs="Times New Roman"/>
                <w:b/>
                <w:sz w:val="24"/>
                <w:szCs w:val="24"/>
              </w:rPr>
              <w:t>khoản 1</w:t>
            </w:r>
            <w:r w:rsidRPr="00AF7630">
              <w:rPr>
                <w:rFonts w:ascii="Times New Roman" w:eastAsia="Times New Roman" w:hAnsi="Times New Roman" w:cs="Times New Roman"/>
                <w:sz w:val="24"/>
                <w:szCs w:val="24"/>
              </w:rPr>
              <w:t xml:space="preserve">: đề nghị sửa: 1 …,trừ trường hợp quy định tại điểm a khoản </w:t>
            </w:r>
            <w:r w:rsidRPr="00AF7630">
              <w:rPr>
                <w:rFonts w:ascii="Times New Roman" w:eastAsia="Times New Roman" w:hAnsi="Times New Roman" w:cs="Times New Roman"/>
                <w:b/>
                <w:sz w:val="24"/>
                <w:szCs w:val="24"/>
              </w:rPr>
              <w:t>3</w:t>
            </w:r>
            <w:r w:rsidRPr="00AF7630">
              <w:rPr>
                <w:rFonts w:ascii="Times New Roman" w:eastAsia="Times New Roman" w:hAnsi="Times New Roman" w:cs="Times New Roman"/>
                <w:sz w:val="24"/>
                <w:szCs w:val="24"/>
              </w:rPr>
              <w:t xml:space="preserve"> Điều 10 Nghị định này.</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 </w:t>
            </w:r>
            <w:r w:rsidRPr="00AF7630">
              <w:rPr>
                <w:rFonts w:ascii="Times New Roman" w:eastAsia="Times New Roman" w:hAnsi="Times New Roman" w:cs="Times New Roman"/>
                <w:b/>
                <w:sz w:val="24"/>
                <w:szCs w:val="24"/>
              </w:rPr>
              <w:t>Điểm c khoản 2</w:t>
            </w:r>
            <w:r w:rsidRPr="00AF7630">
              <w:rPr>
                <w:rFonts w:ascii="Times New Roman" w:eastAsia="Times New Roman" w:hAnsi="Times New Roman" w:cs="Times New Roman"/>
                <w:sz w:val="24"/>
                <w:szCs w:val="24"/>
              </w:rPr>
              <w:t>: đề nghị sửa: c)….. trừ trường hợp quy định tại điểm a khoản 3 Điều 10 Nghị định này.</w:t>
            </w:r>
          </w:p>
        </w:tc>
        <w:tc>
          <w:tcPr>
            <w:tcW w:w="2268" w:type="dxa"/>
          </w:tcPr>
          <w:p w:rsidR="004758A5" w:rsidRPr="00AF7630" w:rsidRDefault="004758A5" w:rsidP="0001557F">
            <w:pPr>
              <w:jc w:val="both"/>
              <w:rPr>
                <w:rFonts w:ascii="Times New Roman" w:hAnsi="Times New Roman" w:cs="Times New Roman"/>
                <w:sz w:val="24"/>
                <w:szCs w:val="24"/>
              </w:rPr>
            </w:pPr>
            <w:r w:rsidRPr="00AF7630">
              <w:rPr>
                <w:rFonts w:ascii="Times New Roman" w:eastAsia="Times New Roman" w:hAnsi="Times New Roman" w:cs="Times New Roman"/>
                <w:sz w:val="24"/>
                <w:szCs w:val="24"/>
              </w:rPr>
              <w:t xml:space="preserve">NHHTX, </w:t>
            </w:r>
            <w:r w:rsidRPr="00AF7630">
              <w:rPr>
                <w:rFonts w:ascii="Times New Roman" w:hAnsi="Times New Roman" w:cs="Times New Roman"/>
                <w:sz w:val="24"/>
                <w:szCs w:val="24"/>
                <w:lang w:val="vi-VN"/>
              </w:rPr>
              <w:t>Agribank</w:t>
            </w:r>
          </w:p>
          <w:p w:rsidR="004758A5" w:rsidRPr="00AF7630" w:rsidRDefault="004758A5" w:rsidP="0001557F">
            <w:pPr>
              <w:jc w:val="both"/>
              <w:rPr>
                <w:rFonts w:ascii="Times New Roman" w:eastAsia="Times New Roman" w:hAnsi="Times New Roman" w:cs="Times New Roman"/>
                <w:sz w:val="24"/>
                <w:szCs w:val="24"/>
              </w:rPr>
            </w:pPr>
          </w:p>
        </w:tc>
        <w:tc>
          <w:tcPr>
            <w:tcW w:w="4677" w:type="dxa"/>
            <w:vMerge w:val="restart"/>
          </w:tcPr>
          <w:p w:rsidR="004758A5" w:rsidRPr="00AF7630" w:rsidRDefault="004758A5" w:rsidP="00087B82">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 Khoản 3 Điều 147 Luật các TCTD quy định: </w:t>
            </w:r>
            <w:r w:rsidRPr="00AF7630">
              <w:rPr>
                <w:rFonts w:ascii="Times New Roman" w:eastAsia="Times New Roman" w:hAnsi="Times New Roman" w:cs="Times New Roman"/>
                <w:i/>
                <w:sz w:val="24"/>
                <w:szCs w:val="24"/>
              </w:rPr>
              <w:t xml:space="preserve">“3. Việc sử dụng dự phòng rủi ro không làm thay đổi nghĩa vụ trả nợ của khách hàng đối với khoản nợ được sử dụng dự phòng rủi ro và trách nhiệm của tổ chức, cá nhân liên quan đến khoản nợ. Mức trích lập dự phòng rủi ro, phương pháp trích lập dự phòng rủi ro và </w:t>
            </w:r>
            <w:r w:rsidRPr="00AF7630">
              <w:rPr>
                <w:rFonts w:ascii="Times New Roman" w:eastAsia="Times New Roman" w:hAnsi="Times New Roman" w:cs="Times New Roman"/>
                <w:b/>
                <w:i/>
                <w:sz w:val="24"/>
                <w:szCs w:val="24"/>
              </w:rPr>
              <w:t xml:space="preserve">việc sử dụng dự phòng để xử lý rủi ro </w:t>
            </w:r>
            <w:r w:rsidRPr="00AF7630">
              <w:rPr>
                <w:rFonts w:ascii="Times New Roman" w:eastAsia="Times New Roman" w:hAnsi="Times New Roman" w:cs="Times New Roman"/>
                <w:i/>
                <w:sz w:val="24"/>
                <w:szCs w:val="24"/>
              </w:rPr>
              <w:lastRenderedPageBreak/>
              <w:t>trong hoạt động của tổ chức tín dụng, chi nhánh ngân hàng nước ngoài thực hiện theo quy định của Chính phủ.”</w:t>
            </w:r>
          </w:p>
          <w:p w:rsidR="004758A5" w:rsidRPr="00AF7630" w:rsidRDefault="004758A5" w:rsidP="00087B8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Căn cứ quy định tại khoản 3 Điều 147 nêu trên thì phạm vi điều chỉnh của dự thảo Nghị định là mức trích lập dự phòng rủi ro, phương pháp trích lập dự phòng rủi ro và </w:t>
            </w:r>
            <w:r w:rsidRPr="00AF7630">
              <w:rPr>
                <w:rFonts w:ascii="Times New Roman" w:eastAsia="Times New Roman" w:hAnsi="Times New Roman" w:cs="Times New Roman"/>
                <w:sz w:val="24"/>
                <w:szCs w:val="24"/>
                <w:u w:val="single"/>
              </w:rPr>
              <w:t>việc sử dụng dự phòng để xử lý rủi ro.</w:t>
            </w:r>
          </w:p>
          <w:p w:rsidR="004758A5" w:rsidRPr="00AF7630" w:rsidRDefault="004758A5" w:rsidP="00087B8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Hiện nay, quy định về xử lý tổn thất về tài sản được quy định tại Điều 12 Nghị định số 93/2017/NĐ-CP (bao gồm cả xử lý tổn thất về tài sản đối với khoản nợ) và đang được tiếp tục kế thừa và quy định tại Điều 11 dự thảo Nghị định thay thế Nghị định 93/2017/NĐ-CP do Bộ Tài chính đầu mối xây dựng.</w:t>
            </w:r>
          </w:p>
          <w:p w:rsidR="004758A5" w:rsidRPr="00AF7630" w:rsidRDefault="004758A5" w:rsidP="00087B82">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Từ các nội dung nêu trên, Điều 15 dự thảo Nghị định được chỉnh sửa theo hướng không quy định việc xử lý tổn thất về tài sản đối với khoản nợ tại dự thảo Nghị định mà có quy định theo hướng dẫn chiếu đến quy định tại Nghị định về chế độ tài chính đối với TCTD, chi nhánh NHNg và giám sát tài chính, đánh giá hiệu quả đầu tư vốn nhà nước tại TCTD do Nhà nước nắm giữ để phù hợp với phạm vi điều chỉnh của dự thảo Nghị định và bảo đảm sự thống nhất giữa các VBQPPL của Chính phủ, cụ thể như sau:</w:t>
            </w:r>
          </w:p>
          <w:p w:rsidR="004758A5" w:rsidRPr="00AF7630" w:rsidRDefault="004758A5" w:rsidP="00D05468">
            <w:pPr>
              <w:jc w:val="both"/>
              <w:rPr>
                <w:rFonts w:ascii="Times New Roman" w:eastAsia="Times New Roman" w:hAnsi="Times New Roman" w:cs="Times New Roman"/>
                <w:i/>
                <w:sz w:val="24"/>
                <w:szCs w:val="24"/>
              </w:rPr>
            </w:pPr>
            <w:r w:rsidRPr="00AF7630">
              <w:rPr>
                <w:rFonts w:ascii="Times New Roman" w:eastAsia="Times New Roman" w:hAnsi="Times New Roman" w:cs="Times New Roman"/>
                <w:b/>
                <w:i/>
                <w:sz w:val="24"/>
                <w:szCs w:val="24"/>
              </w:rPr>
              <w:t>“Điều 15. X</w:t>
            </w:r>
            <w:r w:rsidRPr="00AF7630">
              <w:rPr>
                <w:rFonts w:ascii="Times New Roman" w:eastAsia="Times New Roman" w:hAnsi="Times New Roman" w:cs="Times New Roman"/>
                <w:b/>
                <w:i/>
                <w:sz w:val="24"/>
                <w:szCs w:val="24"/>
                <w:lang w:val="vi-VN"/>
              </w:rPr>
              <w:t xml:space="preserve">ử lý </w:t>
            </w:r>
            <w:r w:rsidRPr="00AF7630">
              <w:rPr>
                <w:rFonts w:ascii="Times New Roman" w:eastAsia="Times New Roman" w:hAnsi="Times New Roman" w:cs="Times New Roman"/>
                <w:b/>
                <w:i/>
                <w:sz w:val="24"/>
                <w:szCs w:val="24"/>
              </w:rPr>
              <w:t>khi bị</w:t>
            </w:r>
            <w:r w:rsidRPr="00AF7630">
              <w:rPr>
                <w:rFonts w:ascii="Times New Roman" w:eastAsia="Times New Roman" w:hAnsi="Times New Roman" w:cs="Times New Roman"/>
                <w:b/>
                <w:i/>
                <w:sz w:val="24"/>
                <w:szCs w:val="24"/>
                <w:lang w:val="vi-VN"/>
              </w:rPr>
              <w:t xml:space="preserve"> tổn thất về tài sản đối với khoản nợ</w:t>
            </w:r>
          </w:p>
          <w:p w:rsidR="004758A5" w:rsidRPr="00AF7630" w:rsidRDefault="004758A5" w:rsidP="00D05468">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Khi bị tổn thất về tài sản đối với khoản nợ, tổ chức tín dụng, chi nhánh ngân hàng nước ngoài thực hiện xử lý tổn thất về tài sản theo quy định của Chính phủ về chế độ tài chính đối với tổ chức tín dụng, chi nhánh ngân hàng nước ngoài và giám sát tài chính, đánh giá hiệu quả đầu tư vốn nhà nước tại tổ chức tín dụng do nhà nước nắm giữ trên 50% vốn điều </w:t>
            </w:r>
            <w:r w:rsidRPr="00AF7630">
              <w:rPr>
                <w:rFonts w:ascii="Times New Roman" w:eastAsia="Times New Roman" w:hAnsi="Times New Roman" w:cs="Times New Roman"/>
                <w:i/>
                <w:sz w:val="24"/>
                <w:szCs w:val="24"/>
              </w:rPr>
              <w:lastRenderedPageBreak/>
              <w:t>lệ.”</w:t>
            </w:r>
          </w:p>
          <w:p w:rsidR="004758A5" w:rsidRPr="00AF7630" w:rsidDel="00595CA5" w:rsidRDefault="004758A5" w:rsidP="00D05468">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Theo đó, các TCTD căn cứ vào quy định tại Nghị định 93/2017/NĐ-CP, Nghị định thay thế Nghị định 93/2017/NĐ-CP và văn bản hướng dẫn Nghị định này để xử lý khi bị tổn thất về tài sản đối với khoản nợ.</w:t>
            </w:r>
          </w:p>
          <w:p w:rsidR="004758A5" w:rsidRPr="00AF7630" w:rsidRDefault="004758A5" w:rsidP="00A13491">
            <w:pPr>
              <w:ind w:firstLine="33"/>
              <w:rPr>
                <w:rFonts w:ascii="Times New Roman" w:eastAsia="Times New Roman" w:hAnsi="Times New Roman" w:cs="Times New Roman"/>
                <w:sz w:val="24"/>
                <w:szCs w:val="24"/>
              </w:rPr>
            </w:pPr>
          </w:p>
        </w:tc>
      </w:tr>
      <w:tr w:rsidR="004758A5" w:rsidRPr="00AF7630" w:rsidTr="0069372A">
        <w:tc>
          <w:tcPr>
            <w:tcW w:w="2978" w:type="dxa"/>
            <w:vMerge/>
          </w:tcPr>
          <w:p w:rsidR="004758A5" w:rsidRPr="00AF7630" w:rsidRDefault="004758A5" w:rsidP="0001557F">
            <w:pPr>
              <w:jc w:val="both"/>
              <w:rPr>
                <w:rFonts w:ascii="Times New Roman" w:eastAsia="Times New Roman" w:hAnsi="Times New Roman" w:cs="Times New Roman"/>
                <w:sz w:val="24"/>
                <w:szCs w:val="24"/>
              </w:rPr>
            </w:pPr>
          </w:p>
        </w:tc>
        <w:tc>
          <w:tcPr>
            <w:tcW w:w="5953" w:type="dxa"/>
          </w:tcPr>
          <w:p w:rsidR="004758A5" w:rsidRPr="00AF7630" w:rsidRDefault="004758A5" w:rsidP="0001557F">
            <w:pPr>
              <w:jc w:val="both"/>
              <w:rPr>
                <w:rFonts w:ascii="Times New Roman" w:hAnsi="Times New Roman" w:cs="Times New Roman"/>
                <w:spacing w:val="-4"/>
                <w:sz w:val="24"/>
                <w:szCs w:val="24"/>
              </w:rPr>
            </w:pPr>
            <w:r w:rsidRPr="00AF7630">
              <w:rPr>
                <w:rFonts w:ascii="Times New Roman" w:hAnsi="Times New Roman" w:cs="Times New Roman"/>
                <w:spacing w:val="-4"/>
                <w:sz w:val="24"/>
                <w:szCs w:val="24"/>
              </w:rPr>
              <w:t xml:space="preserve">Trách nhiệm xử lý tổn thất hiện đang áp dung theo điều 12 Nghị Định 93/2017/NĐ-CP ngày 07.08.2017. </w:t>
            </w:r>
            <w:r w:rsidRPr="00AF7630">
              <w:rPr>
                <w:rFonts w:ascii="Times New Roman" w:eastAsia="Times New Roman" w:hAnsi="Times New Roman" w:cs="Times New Roman"/>
                <w:color w:val="000000"/>
                <w:sz w:val="24"/>
                <w:szCs w:val="24"/>
              </w:rPr>
              <w:t>Tuy nhiên, hiện nay Bộ Tài chính và NHNN (</w:t>
            </w:r>
            <w:r w:rsidRPr="00AF7630">
              <w:rPr>
                <w:rFonts w:ascii="Times New Roman" w:hAnsi="Times New Roman" w:cs="Times New Roman"/>
                <w:spacing w:val="-4"/>
                <w:sz w:val="24"/>
                <w:szCs w:val="24"/>
              </w:rPr>
              <w:t xml:space="preserve">trong dự thảo Nghị định) </w:t>
            </w:r>
            <w:r w:rsidRPr="00AF7630">
              <w:rPr>
                <w:rFonts w:ascii="Times New Roman" w:eastAsia="Times New Roman" w:hAnsi="Times New Roman" w:cs="Times New Roman"/>
                <w:color w:val="000000"/>
                <w:sz w:val="24"/>
                <w:szCs w:val="24"/>
              </w:rPr>
              <w:t xml:space="preserve">chưa có văn bản nào hướng dẫn, làm rõ về các nội dung vướng mắc trên. Do đó, để tạo điều kiện cho các TCTD thống nhất thực hiện trong quá trình hoạt động đảm bảo tuân thủ quy định của pháp luật, </w:t>
            </w:r>
            <w:r w:rsidRPr="00AF7630">
              <w:rPr>
                <w:rFonts w:ascii="Times New Roman" w:hAnsi="Times New Roman" w:cs="Times New Roman"/>
                <w:spacing w:val="-4"/>
                <w:sz w:val="24"/>
                <w:szCs w:val="24"/>
              </w:rPr>
              <w:t xml:space="preserve">kính đề nghị NHNN làm rõ tại Dự thảo Nghị định </w:t>
            </w:r>
            <w:r w:rsidRPr="00AF7630">
              <w:rPr>
                <w:rFonts w:ascii="Times New Roman" w:eastAsia="Times New Roman" w:hAnsi="Times New Roman" w:cs="Times New Roman"/>
                <w:color w:val="000000"/>
                <w:sz w:val="24"/>
                <w:szCs w:val="24"/>
              </w:rPr>
              <w:t>hoặc xem xét phối hợp với Bộ Tài chính quy định, hướng dẫn rõ</w:t>
            </w:r>
            <w:r w:rsidRPr="00AF7630">
              <w:rPr>
                <w:rFonts w:ascii="Times New Roman" w:hAnsi="Times New Roman" w:cs="Times New Roman"/>
                <w:spacing w:val="-4"/>
                <w:sz w:val="24"/>
                <w:szCs w:val="24"/>
              </w:rPr>
              <w:t>:</w:t>
            </w:r>
          </w:p>
          <w:p w:rsidR="004758A5" w:rsidRPr="00AF7630" w:rsidRDefault="004758A5" w:rsidP="0001557F">
            <w:pPr>
              <w:jc w:val="both"/>
              <w:rPr>
                <w:rFonts w:ascii="Times New Roman" w:hAnsi="Times New Roman" w:cs="Times New Roman"/>
                <w:spacing w:val="-4"/>
                <w:sz w:val="24"/>
                <w:szCs w:val="24"/>
              </w:rPr>
            </w:pPr>
            <w:r w:rsidRPr="00AF7630">
              <w:rPr>
                <w:rFonts w:ascii="Times New Roman" w:hAnsi="Times New Roman" w:cs="Times New Roman"/>
                <w:spacing w:val="-4"/>
                <w:sz w:val="24"/>
                <w:szCs w:val="24"/>
              </w:rPr>
              <w:t xml:space="preserve"> + Nguyên nhân chủ quan và nguyên nhân khách quan được hiểu như thế nào? </w:t>
            </w:r>
          </w:p>
          <w:p w:rsidR="004758A5" w:rsidRPr="00AF7630" w:rsidRDefault="004758A5" w:rsidP="0001557F">
            <w:pPr>
              <w:pStyle w:val="ListParagraph"/>
              <w:ind w:left="0"/>
              <w:jc w:val="both"/>
              <w:rPr>
                <w:rFonts w:ascii="Times New Roman" w:hAnsi="Times New Roman" w:cs="Times New Roman"/>
                <w:spacing w:val="-4"/>
                <w:sz w:val="24"/>
                <w:szCs w:val="24"/>
              </w:rPr>
            </w:pPr>
            <w:r w:rsidRPr="00AF7630">
              <w:rPr>
                <w:rFonts w:ascii="Times New Roman" w:hAnsi="Times New Roman" w:cs="Times New Roman"/>
                <w:spacing w:val="-4"/>
                <w:sz w:val="24"/>
                <w:szCs w:val="24"/>
              </w:rPr>
              <w:t xml:space="preserve"> + Bằng chứng chắc chắn chứng minh tổn thất về tài sản đối với khoản nợ: bao gồm những bằng chứng nào? </w:t>
            </w:r>
            <w:r w:rsidRPr="00AF7630">
              <w:rPr>
                <w:rFonts w:ascii="Times New Roman" w:hAnsi="Times New Roman" w:cs="Times New Roman"/>
                <w:color w:val="242424"/>
                <w:sz w:val="24"/>
                <w:szCs w:val="24"/>
                <w:shd w:val="clear" w:color="auto" w:fill="FFFFFF"/>
              </w:rPr>
              <w:t xml:space="preserve">căn cứ quy định nào để xác định </w:t>
            </w:r>
            <w:r w:rsidRPr="00AF7630">
              <w:rPr>
                <w:rFonts w:ascii="Times New Roman" w:hAnsi="Times New Roman" w:cs="Times New Roman"/>
                <w:b/>
                <w:bCs/>
                <w:color w:val="242424"/>
                <w:sz w:val="24"/>
                <w:szCs w:val="24"/>
                <w:shd w:val="clear" w:color="auto" w:fill="FFFFFF"/>
              </w:rPr>
              <w:t>“</w:t>
            </w:r>
            <w:r w:rsidRPr="00AF7630">
              <w:rPr>
                <w:rFonts w:ascii="Times New Roman" w:hAnsi="Times New Roman" w:cs="Times New Roman"/>
                <w:b/>
                <w:bCs/>
                <w:color w:val="242424"/>
                <w:sz w:val="24"/>
                <w:szCs w:val="24"/>
                <w:u w:val="single"/>
                <w:shd w:val="clear" w:color="auto" w:fill="FFFFFF"/>
              </w:rPr>
              <w:t>bằng chứng chắc chắn</w:t>
            </w:r>
            <w:r w:rsidRPr="00AF7630">
              <w:rPr>
                <w:rFonts w:ascii="Times New Roman" w:hAnsi="Times New Roman" w:cs="Times New Roman"/>
                <w:b/>
                <w:bCs/>
                <w:color w:val="242424"/>
                <w:sz w:val="24"/>
                <w:szCs w:val="24"/>
                <w:shd w:val="clear" w:color="auto" w:fill="FFFFFF"/>
              </w:rPr>
              <w:t xml:space="preserve"> </w:t>
            </w:r>
            <w:r w:rsidRPr="00AF7630">
              <w:rPr>
                <w:rFonts w:ascii="Times New Roman" w:hAnsi="Times New Roman" w:cs="Times New Roman"/>
                <w:color w:val="242424"/>
                <w:sz w:val="24"/>
                <w:szCs w:val="24"/>
                <w:shd w:val="clear" w:color="auto" w:fill="FFFFFF"/>
              </w:rPr>
              <w:t xml:space="preserve">chứng minh tổn thất về tài sản đối với khoản nợ”? Các </w:t>
            </w:r>
            <w:r w:rsidRPr="00AF7630">
              <w:rPr>
                <w:rFonts w:ascii="Times New Roman" w:hAnsi="Times New Roman" w:cs="Times New Roman"/>
                <w:i/>
                <w:iCs/>
                <w:color w:val="242424"/>
                <w:sz w:val="24"/>
                <w:szCs w:val="24"/>
                <w:shd w:val="clear" w:color="auto" w:fill="FFFFFF"/>
              </w:rPr>
              <w:t>“bằng chứng chắc chắn”</w:t>
            </w:r>
            <w:r w:rsidRPr="00AF7630">
              <w:rPr>
                <w:rFonts w:ascii="Times New Roman" w:hAnsi="Times New Roman" w:cs="Times New Roman"/>
                <w:color w:val="242424"/>
                <w:sz w:val="24"/>
                <w:szCs w:val="24"/>
                <w:shd w:val="clear" w:color="auto" w:fill="FFFFFF"/>
              </w:rPr>
              <w:t xml:space="preserve"> có cần phải do bên thứ ba có chức năng/thẩm quyền theo quy định pháp luật đưa ra hay không? </w:t>
            </w:r>
            <w:r w:rsidRPr="00AF7630">
              <w:rPr>
                <w:rFonts w:ascii="Times New Roman" w:hAnsi="Times New Roman" w:cs="Times New Roman"/>
                <w:spacing w:val="-4"/>
                <w:sz w:val="24"/>
                <w:szCs w:val="24"/>
              </w:rPr>
              <w:t>C</w:t>
            </w:r>
            <w:r w:rsidRPr="00AF7630">
              <w:rPr>
                <w:rFonts w:ascii="Times New Roman" w:hAnsi="Times New Roman" w:cs="Times New Roman"/>
                <w:iCs/>
                <w:spacing w:val="-4"/>
                <w:sz w:val="24"/>
                <w:szCs w:val="24"/>
              </w:rPr>
              <w:t>ụ thể về</w:t>
            </w:r>
            <w:r w:rsidRPr="00AF7630">
              <w:rPr>
                <w:rFonts w:ascii="Times New Roman" w:hAnsi="Times New Roman" w:cs="Times New Roman"/>
                <w:spacing w:val="-4"/>
                <w:sz w:val="24"/>
                <w:szCs w:val="24"/>
              </w:rPr>
              <w:t xml:space="preserve"> dấu hiệu nhận biết, các hồ sơ, chứng từ chứng minh, phương thức chứng minh tổn thất… </w:t>
            </w:r>
          </w:p>
          <w:p w:rsidR="004758A5" w:rsidRPr="00AF7630" w:rsidRDefault="004758A5" w:rsidP="0001557F">
            <w:pPr>
              <w:jc w:val="both"/>
              <w:rPr>
                <w:rFonts w:ascii="Times New Roman" w:hAnsi="Times New Roman" w:cs="Times New Roman"/>
                <w:spacing w:val="-4"/>
                <w:sz w:val="24"/>
                <w:szCs w:val="24"/>
              </w:rPr>
            </w:pPr>
            <w:r w:rsidRPr="00AF7630">
              <w:rPr>
                <w:rFonts w:ascii="Times New Roman" w:hAnsi="Times New Roman" w:cs="Times New Roman"/>
                <w:sz w:val="24"/>
                <w:szCs w:val="24"/>
              </w:rPr>
              <w:t>+ Bổ sung quy định/hướng dẫn cụ thể như thế nào là</w:t>
            </w:r>
            <w:r w:rsidRPr="00AF7630">
              <w:rPr>
                <w:rFonts w:ascii="Times New Roman" w:hAnsi="Times New Roman" w:cs="Times New Roman"/>
                <w:b/>
                <w:bCs/>
                <w:sz w:val="24"/>
                <w:szCs w:val="24"/>
              </w:rPr>
              <w:t xml:space="preserve"> “tổn thất về tài sản đối khoản nợ”</w:t>
            </w:r>
          </w:p>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bCs/>
                <w:sz w:val="24"/>
                <w:szCs w:val="24"/>
              </w:rPr>
              <w:t>+ Bổ sung hướng dẫn về: phương thức xác minh bằng chứng tổn thất, thẩm quyền xác định hành vi vi phạm, quy định trong trường hợp đã xử lý DPRR rồi mới phát hiện bằng chứng chứng minh tổn thất, trích lập quỹ dự phòng tài chính để xử lý tổn thất về tài sản đối với khoản nợ.</w:t>
            </w:r>
          </w:p>
        </w:tc>
        <w:tc>
          <w:tcPr>
            <w:tcW w:w="2268"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BIDV</w:t>
            </w:r>
            <w:r w:rsidRPr="00AF7630">
              <w:rPr>
                <w:rFonts w:ascii="Times New Roman" w:hAnsi="Times New Roman" w:cs="Times New Roman"/>
                <w:spacing w:val="-4"/>
                <w:sz w:val="24"/>
                <w:szCs w:val="24"/>
              </w:rPr>
              <w:t xml:space="preserve">, Quốc tế, </w:t>
            </w:r>
            <w:r w:rsidRPr="00AF7630">
              <w:rPr>
                <w:rFonts w:ascii="Times New Roman" w:hAnsi="Times New Roman" w:cs="Times New Roman"/>
                <w:color w:val="212121"/>
                <w:sz w:val="24"/>
                <w:szCs w:val="24"/>
                <w:shd w:val="clear" w:color="auto" w:fill="FFFFFF"/>
              </w:rPr>
              <w:t xml:space="preserve">Quân đội, </w:t>
            </w:r>
            <w:r w:rsidRPr="00AF7630">
              <w:rPr>
                <w:rFonts w:ascii="Times New Roman" w:eastAsia="Times New Roman" w:hAnsi="Times New Roman" w:cs="Times New Roman"/>
                <w:color w:val="000000"/>
                <w:sz w:val="24"/>
                <w:szCs w:val="24"/>
              </w:rPr>
              <w:t>VietinBank, ACB</w:t>
            </w:r>
          </w:p>
        </w:tc>
        <w:tc>
          <w:tcPr>
            <w:tcW w:w="4677" w:type="dxa"/>
            <w:vMerge/>
          </w:tcPr>
          <w:p w:rsidR="004758A5" w:rsidRPr="00AF7630" w:rsidRDefault="004758A5" w:rsidP="00A13491">
            <w:pPr>
              <w:ind w:firstLine="33"/>
              <w:rPr>
                <w:rFonts w:ascii="Times New Roman" w:eastAsia="Times New Roman" w:hAnsi="Times New Roman" w:cs="Times New Roman"/>
                <w:sz w:val="24"/>
                <w:szCs w:val="24"/>
              </w:rPr>
            </w:pPr>
          </w:p>
        </w:tc>
      </w:tr>
      <w:tr w:rsidR="004758A5" w:rsidRPr="00AF7630" w:rsidTr="0069372A">
        <w:tc>
          <w:tcPr>
            <w:tcW w:w="2978" w:type="dxa"/>
            <w:vMerge/>
          </w:tcPr>
          <w:p w:rsidR="004758A5" w:rsidRPr="00AF7630" w:rsidRDefault="004758A5" w:rsidP="0001557F">
            <w:pPr>
              <w:jc w:val="both"/>
              <w:rPr>
                <w:rFonts w:ascii="Times New Roman" w:eastAsia="Times New Roman" w:hAnsi="Times New Roman" w:cs="Times New Roman"/>
                <w:sz w:val="24"/>
                <w:szCs w:val="24"/>
              </w:rPr>
            </w:pPr>
          </w:p>
        </w:tc>
        <w:tc>
          <w:tcPr>
            <w:tcW w:w="5953" w:type="dxa"/>
          </w:tcPr>
          <w:p w:rsidR="004758A5" w:rsidRPr="00AF7630" w:rsidRDefault="004758A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t xml:space="preserve">Điểm a Khoản 2 Điều 12: </w:t>
            </w:r>
            <w:r w:rsidRPr="00AF7630">
              <w:rPr>
                <w:rFonts w:ascii="Times New Roman" w:eastAsia="Times New Roman" w:hAnsi="Times New Roman" w:cs="Times New Roman"/>
                <w:bCs/>
                <w:sz w:val="24"/>
                <w:szCs w:val="24"/>
              </w:rPr>
              <w:t>Theo quy định của nghị định 145/2020/NĐ-CP ngày 14/12/2020, thời hiệu xử lý bồi thường là 6 tháng kể từ ngày có hành vi gây thiệt hại. Vậy nếu quá thời hiệu này người gây ra tổn thất có phải thực hiện bồi thường không? OceanBank kính đề nghị NHNN làm rõ việc xử lý bồi thường này có thời hiệu không để tránh việc quy định trái với pháp luật về lao động.</w:t>
            </w:r>
          </w:p>
        </w:tc>
        <w:tc>
          <w:tcPr>
            <w:tcW w:w="2268" w:type="dxa"/>
          </w:tcPr>
          <w:p w:rsidR="004758A5" w:rsidRPr="00AF7630" w:rsidRDefault="004758A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OceanBank</w:t>
            </w:r>
          </w:p>
        </w:tc>
        <w:tc>
          <w:tcPr>
            <w:tcW w:w="4677" w:type="dxa"/>
            <w:vMerge/>
          </w:tcPr>
          <w:p w:rsidR="004758A5" w:rsidRPr="00AF7630" w:rsidRDefault="004758A5" w:rsidP="0001557F">
            <w:pPr>
              <w:jc w:val="both"/>
              <w:rPr>
                <w:rFonts w:ascii="Times New Roman" w:eastAsia="Times New Roman" w:hAnsi="Times New Roman" w:cs="Times New Roman"/>
                <w:sz w:val="24"/>
                <w:szCs w:val="24"/>
              </w:rPr>
            </w:pPr>
          </w:p>
        </w:tc>
      </w:tr>
      <w:tr w:rsidR="004758A5" w:rsidRPr="00AF7630" w:rsidTr="0069372A">
        <w:tc>
          <w:tcPr>
            <w:tcW w:w="2978" w:type="dxa"/>
            <w:vMerge/>
          </w:tcPr>
          <w:p w:rsidR="004758A5" w:rsidRPr="00AF7630" w:rsidRDefault="004758A5" w:rsidP="0001557F">
            <w:pPr>
              <w:jc w:val="both"/>
              <w:rPr>
                <w:rFonts w:ascii="Times New Roman" w:eastAsia="Times New Roman" w:hAnsi="Times New Roman" w:cs="Times New Roman"/>
                <w:sz w:val="24"/>
                <w:szCs w:val="24"/>
              </w:rPr>
            </w:pPr>
          </w:p>
        </w:tc>
        <w:tc>
          <w:tcPr>
            <w:tcW w:w="5953" w:type="dxa"/>
          </w:tcPr>
          <w:p w:rsidR="004758A5" w:rsidRPr="00AF7630" w:rsidRDefault="004758A5" w:rsidP="0001557F">
            <w:pPr>
              <w:pStyle w:val="ListParagraph"/>
              <w:ind w:left="0"/>
              <w:jc w:val="both"/>
              <w:rPr>
                <w:rFonts w:ascii="Times New Roman" w:hAnsi="Times New Roman" w:cs="Times New Roman"/>
                <w:color w:val="242424"/>
                <w:sz w:val="24"/>
                <w:szCs w:val="24"/>
                <w:shd w:val="clear" w:color="auto" w:fill="FFFFFF"/>
              </w:rPr>
            </w:pPr>
            <w:r w:rsidRPr="00AF7630">
              <w:rPr>
                <w:rFonts w:ascii="Times New Roman" w:hAnsi="Times New Roman" w:cs="Times New Roman"/>
                <w:sz w:val="24"/>
                <w:szCs w:val="24"/>
              </w:rPr>
              <w:t xml:space="preserve">Đề nghị làm rõ việc xử lý rủi ro </w:t>
            </w:r>
            <w:r w:rsidRPr="00AF7630">
              <w:rPr>
                <w:rFonts w:ascii="Times New Roman" w:hAnsi="Times New Roman" w:cs="Times New Roman"/>
                <w:b/>
                <w:bCs/>
                <w:sz w:val="24"/>
                <w:szCs w:val="24"/>
              </w:rPr>
              <w:t>có phải theo trình tự từ a) -&gt; b) -&gt; c) không</w:t>
            </w:r>
            <w:r w:rsidRPr="00AF7630">
              <w:rPr>
                <w:rFonts w:ascii="Times New Roman" w:hAnsi="Times New Roman" w:cs="Times New Roman"/>
                <w:sz w:val="24"/>
                <w:szCs w:val="24"/>
              </w:rPr>
              <w:t xml:space="preserve"> hay có thể thực hiện xử lý rủi ro theo thứ tự bất kỳ phù hợp với từng trường hợp/hồ sơ cụ thể.</w:t>
            </w:r>
          </w:p>
          <w:p w:rsidR="004758A5" w:rsidRPr="00AF7630" w:rsidRDefault="004758A5" w:rsidP="0001557F">
            <w:pPr>
              <w:ind w:hanging="18"/>
              <w:jc w:val="both"/>
              <w:rPr>
                <w:rFonts w:ascii="Times New Roman" w:hAnsi="Times New Roman" w:cs="Times New Roman"/>
                <w:b/>
                <w:bCs/>
                <w:sz w:val="24"/>
                <w:szCs w:val="24"/>
              </w:rPr>
            </w:pPr>
            <w:r w:rsidRPr="00AF7630">
              <w:rPr>
                <w:rFonts w:ascii="Times New Roman" w:hAnsi="Times New Roman" w:cs="Times New Roman"/>
                <w:b/>
                <w:bCs/>
                <w:sz w:val="24"/>
                <w:szCs w:val="24"/>
              </w:rPr>
              <w:t>Lý do:</w:t>
            </w:r>
          </w:p>
          <w:p w:rsidR="004758A5" w:rsidRPr="00AF7630" w:rsidRDefault="004758A5" w:rsidP="0001557F">
            <w:pPr>
              <w:pStyle w:val="ListParagraph"/>
              <w:ind w:left="0"/>
              <w:jc w:val="both"/>
              <w:rPr>
                <w:rFonts w:ascii="Times New Roman" w:hAnsi="Times New Roman" w:cs="Times New Roman"/>
                <w:sz w:val="24"/>
                <w:szCs w:val="24"/>
              </w:rPr>
            </w:pPr>
            <w:r w:rsidRPr="00AF7630">
              <w:rPr>
                <w:rFonts w:ascii="Times New Roman" w:hAnsi="Times New Roman" w:cs="Times New Roman"/>
                <w:sz w:val="24"/>
                <w:szCs w:val="24"/>
              </w:rPr>
              <w:lastRenderedPageBreak/>
              <w:t>1. Theo hướng dẫn của NHNN tại văn bản số 2156/NHNN-TTGSNH (Câu 55): TCTD căn cứ quy định tại Nghị định 93/2017/NĐ-CP ngày 07/8/2017, các văn bản hướng dẫn Nghị định này và tình hình thực tế để xử lý tổn thất về tài sản đối với khoản nợ.</w:t>
            </w:r>
          </w:p>
          <w:p w:rsidR="004758A5" w:rsidRPr="00AF7630" w:rsidRDefault="004758A5" w:rsidP="0001557F">
            <w:pPr>
              <w:pStyle w:val="ListParagraph"/>
              <w:ind w:left="0" w:hanging="18"/>
              <w:jc w:val="both"/>
              <w:rPr>
                <w:rFonts w:ascii="Times New Roman" w:hAnsi="Times New Roman" w:cs="Times New Roman"/>
                <w:sz w:val="24"/>
                <w:szCs w:val="24"/>
              </w:rPr>
            </w:pPr>
            <w:r w:rsidRPr="00AF7630">
              <w:rPr>
                <w:rFonts w:ascii="Times New Roman" w:hAnsi="Times New Roman" w:cs="Times New Roman"/>
                <w:sz w:val="24"/>
                <w:szCs w:val="24"/>
              </w:rPr>
              <w:t>Tuy nhiên, Nghị Định 93 hiện chỉ quy định về tổn thất đối với tài sản cố định, chưa có quy định cụ thể về “tổn thất về tài sản đối khoản nợ”.</w:t>
            </w:r>
          </w:p>
          <w:p w:rsidR="004758A5" w:rsidRPr="00AF7630" w:rsidRDefault="004758A5" w:rsidP="0001557F">
            <w:pPr>
              <w:pStyle w:val="ListParagraph"/>
              <w:ind w:left="0"/>
              <w:jc w:val="both"/>
              <w:rPr>
                <w:rFonts w:ascii="Times New Roman" w:hAnsi="Times New Roman" w:cs="Times New Roman"/>
                <w:sz w:val="24"/>
                <w:szCs w:val="24"/>
              </w:rPr>
            </w:pPr>
            <w:r w:rsidRPr="00AF7630">
              <w:rPr>
                <w:rFonts w:ascii="Times New Roman" w:hAnsi="Times New Roman" w:cs="Times New Roman"/>
                <w:sz w:val="24"/>
                <w:szCs w:val="24"/>
              </w:rPr>
              <w:t>2. Hiện dự thảo Nghị định và các văn bản pháp luật liên quan không có quy định cụ thể như thế nào là bằng chứng chắc chắn để chứng minh tổn thất về tài sản đối với khoản nợ.</w:t>
            </w:r>
          </w:p>
          <w:p w:rsidR="004758A5" w:rsidRPr="00AF7630" w:rsidRDefault="004758A5" w:rsidP="0001557F">
            <w:pPr>
              <w:pStyle w:val="ListParagraph"/>
              <w:ind w:left="0"/>
              <w:jc w:val="both"/>
              <w:rPr>
                <w:rFonts w:ascii="Times New Roman" w:hAnsi="Times New Roman" w:cs="Times New Roman"/>
                <w:sz w:val="24"/>
                <w:szCs w:val="24"/>
              </w:rPr>
            </w:pPr>
            <w:r w:rsidRPr="00AF7630">
              <w:rPr>
                <w:rFonts w:ascii="Times New Roman" w:hAnsi="Times New Roman" w:cs="Times New Roman"/>
                <w:sz w:val="24"/>
                <w:szCs w:val="24"/>
              </w:rPr>
              <w:t>3. Nhằm đảm bảo quy định rõ ràng và đầy đủ, tạo điều kiện trong việc triển khai và thực thi phù hợp với thực tế.</w:t>
            </w:r>
          </w:p>
        </w:tc>
        <w:tc>
          <w:tcPr>
            <w:tcW w:w="2268" w:type="dxa"/>
          </w:tcPr>
          <w:p w:rsidR="004758A5" w:rsidRPr="00AF7630" w:rsidRDefault="004758A5" w:rsidP="0001557F">
            <w:pPr>
              <w:jc w:val="both"/>
              <w:rPr>
                <w:rFonts w:ascii="Times New Roman" w:eastAsia="Times New Roman" w:hAnsi="Times New Roman" w:cs="Times New Roman"/>
                <w:color w:val="000000"/>
                <w:sz w:val="24"/>
                <w:szCs w:val="24"/>
              </w:rPr>
            </w:pPr>
            <w:r w:rsidRPr="00AF7630">
              <w:rPr>
                <w:rFonts w:ascii="Times New Roman" w:eastAsia="Times New Roman" w:hAnsi="Times New Roman" w:cs="Times New Roman"/>
                <w:color w:val="000000"/>
                <w:sz w:val="24"/>
                <w:szCs w:val="24"/>
              </w:rPr>
              <w:lastRenderedPageBreak/>
              <w:t>Ngân hàng ACB</w:t>
            </w:r>
          </w:p>
        </w:tc>
        <w:tc>
          <w:tcPr>
            <w:tcW w:w="4677" w:type="dxa"/>
            <w:vMerge/>
          </w:tcPr>
          <w:p w:rsidR="004758A5" w:rsidRPr="00AF7630" w:rsidRDefault="004758A5" w:rsidP="0001557F">
            <w:pPr>
              <w:jc w:val="both"/>
              <w:rPr>
                <w:rFonts w:ascii="Times New Roman" w:eastAsia="Times New Roman" w:hAnsi="Times New Roman" w:cs="Times New Roman"/>
                <w:sz w:val="24"/>
                <w:szCs w:val="24"/>
              </w:rPr>
            </w:pPr>
          </w:p>
        </w:tc>
      </w:tr>
      <w:tr w:rsidR="00870CBB" w:rsidRPr="00AF7630" w:rsidTr="0069372A">
        <w:tc>
          <w:tcPr>
            <w:tcW w:w="2978" w:type="dxa"/>
            <w:vMerge w:val="restart"/>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1 Điều 14 DTNĐ:</w:t>
            </w:r>
          </w:p>
          <w:p w:rsidR="00870CBB" w:rsidRPr="00AF7630" w:rsidRDefault="00870CBB" w:rsidP="0001557F">
            <w:pPr>
              <w:jc w:val="both"/>
              <w:rPr>
                <w:rFonts w:ascii="Times New Roman" w:eastAsia="Times New Roman" w:hAnsi="Times New Roman" w:cs="Times New Roman"/>
                <w:b/>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b/>
                <w:i/>
                <w:sz w:val="24"/>
                <w:szCs w:val="24"/>
                <w:lang w:val="vi-VN"/>
              </w:rPr>
              <w:t xml:space="preserve">Điều </w:t>
            </w:r>
            <w:r w:rsidRPr="00AF7630">
              <w:rPr>
                <w:rFonts w:ascii="Times New Roman" w:eastAsia="Times New Roman" w:hAnsi="Times New Roman" w:cs="Times New Roman"/>
                <w:b/>
                <w:i/>
                <w:sz w:val="24"/>
                <w:szCs w:val="24"/>
              </w:rPr>
              <w:t>14</w:t>
            </w:r>
            <w:r w:rsidRPr="00AF7630">
              <w:rPr>
                <w:rFonts w:ascii="Times New Roman" w:eastAsia="Times New Roman" w:hAnsi="Times New Roman" w:cs="Times New Roman"/>
                <w:b/>
                <w:i/>
                <w:sz w:val="24"/>
                <w:szCs w:val="24"/>
                <w:lang w:val="vi-VN"/>
              </w:rPr>
              <w:t>. Hội đồng xử lý rủi ro</w:t>
            </w:r>
          </w:p>
          <w:p w:rsidR="00870CBB" w:rsidRPr="00AF7630" w:rsidRDefault="00870CBB"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1. Thành phần của Hội đồng xử lý rủi ro:</w:t>
            </w:r>
          </w:p>
          <w:p w:rsidR="00870CBB" w:rsidRPr="00AF7630" w:rsidRDefault="00870CBB"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a) Ngân hàng thương mại</w:t>
            </w:r>
            <w:r w:rsidRPr="00AF7630">
              <w:rPr>
                <w:rFonts w:ascii="Times New Roman" w:eastAsia="Times New Roman" w:hAnsi="Times New Roman" w:cs="Times New Roman"/>
                <w:i/>
                <w:sz w:val="24"/>
                <w:szCs w:val="24"/>
                <w:lang w:val="vi-VN"/>
              </w:rPr>
              <w:t xml:space="preserve"> phải thành lập Hội đồng xử lý rủi ro gồm 01 thành viên là thành viên Hội đồng quản trị hoặc Hội đồng thành viên</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làm chủ tịch; 01 thành viên</w:t>
            </w:r>
            <w:r w:rsidRPr="00AF7630">
              <w:rPr>
                <w:rFonts w:ascii="Times New Roman" w:eastAsia="Times New Roman" w:hAnsi="Times New Roman" w:cs="Times New Roman"/>
                <w:i/>
                <w:sz w:val="24"/>
                <w:szCs w:val="24"/>
              </w:rPr>
              <w:t xml:space="preserve"> khác</w:t>
            </w:r>
            <w:r w:rsidRPr="00AF7630">
              <w:rPr>
                <w:rFonts w:ascii="Times New Roman" w:eastAsia="Times New Roman" w:hAnsi="Times New Roman" w:cs="Times New Roman"/>
                <w:i/>
                <w:sz w:val="24"/>
                <w:szCs w:val="24"/>
                <w:lang w:val="vi-VN"/>
              </w:rPr>
              <w:t xml:space="preserve"> là thành viên của Ủy ban quản lý rủi ro; 01 thành viên</w:t>
            </w:r>
            <w:r w:rsidRPr="00AF7630">
              <w:rPr>
                <w:rFonts w:ascii="Times New Roman" w:eastAsia="Times New Roman" w:hAnsi="Times New Roman" w:cs="Times New Roman"/>
                <w:i/>
                <w:sz w:val="24"/>
                <w:szCs w:val="24"/>
              </w:rPr>
              <w:t xml:space="preserve"> khác</w:t>
            </w:r>
            <w:r w:rsidRPr="00AF7630">
              <w:rPr>
                <w:rFonts w:ascii="Times New Roman" w:eastAsia="Times New Roman" w:hAnsi="Times New Roman" w:cs="Times New Roman"/>
                <w:i/>
                <w:sz w:val="24"/>
                <w:szCs w:val="24"/>
                <w:lang w:val="vi-VN"/>
              </w:rPr>
              <w:t xml:space="preserve"> là Tổng giám đốc (Giám đốc) và tối thiểu 02 thành viên khác do Hội đồng quản trị, Hội đồng thành viên quyết định</w:t>
            </w:r>
            <w:r w:rsidRPr="00AF7630">
              <w:rPr>
                <w:rFonts w:ascii="Times New Roman" w:eastAsia="Times New Roman" w:hAnsi="Times New Roman" w:cs="Times New Roman"/>
                <w:i/>
                <w:sz w:val="24"/>
                <w:szCs w:val="24"/>
              </w:rPr>
              <w:t>;</w:t>
            </w:r>
          </w:p>
          <w:p w:rsidR="00870CBB" w:rsidRPr="00AF7630" w:rsidRDefault="00870CBB"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b) </w:t>
            </w:r>
            <w:r w:rsidRPr="00AF7630">
              <w:rPr>
                <w:rFonts w:ascii="Times New Roman" w:eastAsia="Times New Roman" w:hAnsi="Times New Roman" w:cs="Times New Roman"/>
                <w:i/>
                <w:sz w:val="24"/>
                <w:szCs w:val="24"/>
                <w:lang w:val="vi-VN"/>
              </w:rPr>
              <w:t xml:space="preserve">Chi nhánh ngân hàng nước ngoài, tổ chức tín dụng phi ngân hàng phải </w:t>
            </w:r>
            <w:r w:rsidRPr="00AF7630">
              <w:rPr>
                <w:rFonts w:ascii="Times New Roman" w:eastAsia="Times New Roman" w:hAnsi="Times New Roman" w:cs="Times New Roman"/>
                <w:i/>
                <w:sz w:val="24"/>
                <w:szCs w:val="24"/>
                <w:lang w:val="vi-VN"/>
              </w:rPr>
              <w:lastRenderedPageBreak/>
              <w:t>thành lập Hội đồng xử lý rủi ro gồm Tổng giám đốc (Giám đốc) làm chủ tịch và tối thiểu 02 thành viên khác do Tổng giám đốc (Giám đốc) quyết định.</w:t>
            </w:r>
          </w:p>
          <w:p w:rsidR="00870CBB" w:rsidRPr="00AF7630" w:rsidRDefault="00870CBB" w:rsidP="0001557F">
            <w:pPr>
              <w:jc w:val="both"/>
              <w:rPr>
                <w:rFonts w:ascii="Times New Roman" w:eastAsia="Times New Roman" w:hAnsi="Times New Roman" w:cs="Times New Roman"/>
                <w:i/>
                <w:sz w:val="24"/>
                <w:szCs w:val="24"/>
              </w:rPr>
            </w:pPr>
            <w:r w:rsidRPr="00AF7630">
              <w:rPr>
                <w:rFonts w:ascii="Times New Roman" w:eastAsia="Times New Roman" w:hAnsi="Times New Roman" w:cs="Times New Roman"/>
                <w:i/>
                <w:sz w:val="24"/>
                <w:szCs w:val="24"/>
              </w:rPr>
              <w:t xml:space="preserve">c) </w:t>
            </w:r>
            <w:r w:rsidRPr="00AF7630">
              <w:rPr>
                <w:rFonts w:ascii="Times New Roman" w:eastAsia="Times New Roman" w:hAnsi="Times New Roman" w:cs="Times New Roman"/>
                <w:i/>
                <w:sz w:val="24"/>
                <w:szCs w:val="24"/>
                <w:lang w:val="vi-VN"/>
              </w:rPr>
              <w:t>Tổ chức tài chính vi mô phải thành lập Hội đồng xử lý rủi ro do Chủ tịch Hội đồng thành viên hoặc người được Chủ tịch Hội đồng thành viên ủy quyền làm Chủ tịch và các thành viên gồm</w:t>
            </w:r>
            <w:r w:rsidRPr="00AF7630">
              <w:rPr>
                <w:rFonts w:ascii="Times New Roman" w:eastAsia="Times New Roman" w:hAnsi="Times New Roman" w:cs="Times New Roman"/>
                <w:i/>
                <w:sz w:val="24"/>
                <w:szCs w:val="24"/>
              </w:rPr>
              <w:t xml:space="preserve"> 01 thành viên của Ủy ban quản lý rủi ro, Tổng giám đốc (giám đốc) </w:t>
            </w:r>
            <w:r w:rsidRPr="00AF7630">
              <w:rPr>
                <w:rFonts w:ascii="Times New Roman" w:eastAsia="Times New Roman" w:hAnsi="Times New Roman" w:cs="Times New Roman"/>
                <w:i/>
                <w:sz w:val="24"/>
                <w:szCs w:val="24"/>
                <w:lang w:val="vi-VN"/>
              </w:rPr>
              <w:t xml:space="preserve">và </w:t>
            </w:r>
            <w:r w:rsidRPr="00AF7630">
              <w:rPr>
                <w:rFonts w:ascii="Times New Roman" w:eastAsia="Times New Roman" w:hAnsi="Times New Roman" w:cs="Times New Roman"/>
                <w:i/>
                <w:sz w:val="24"/>
                <w:szCs w:val="24"/>
              </w:rPr>
              <w:t>tối đa 02 thành viên</w:t>
            </w:r>
            <w:r w:rsidRPr="00AF7630">
              <w:rPr>
                <w:rFonts w:ascii="Times New Roman" w:eastAsia="Times New Roman" w:hAnsi="Times New Roman" w:cs="Times New Roman"/>
                <w:i/>
                <w:sz w:val="24"/>
                <w:szCs w:val="24"/>
                <w:lang w:val="vi-VN"/>
              </w:rPr>
              <w:t xml:space="preserve"> khác do Chủ tịch Hội đồng thành viên quyết định.</w:t>
            </w:r>
          </w:p>
          <w:p w:rsidR="00870CBB" w:rsidRPr="00AF7630" w:rsidRDefault="00870CBB" w:rsidP="0001557F">
            <w:pPr>
              <w:jc w:val="both"/>
              <w:rPr>
                <w:rFonts w:ascii="Times New Roman" w:eastAsia="Times New Roman" w:hAnsi="Times New Roman" w:cs="Times New Roman"/>
                <w:sz w:val="24"/>
                <w:szCs w:val="24"/>
                <w:lang w:val="vi-VN"/>
              </w:rPr>
            </w:pPr>
            <w:r w:rsidRPr="00AF7630">
              <w:rPr>
                <w:rFonts w:ascii="Times New Roman" w:eastAsia="Times New Roman" w:hAnsi="Times New Roman" w:cs="Times New Roman"/>
                <w:i/>
                <w:sz w:val="24"/>
                <w:szCs w:val="24"/>
              </w:rPr>
              <w:t xml:space="preserve">d) </w:t>
            </w:r>
            <w:r w:rsidRPr="00AF7630">
              <w:rPr>
                <w:rFonts w:ascii="Times New Roman" w:eastAsia="Times New Roman" w:hAnsi="Times New Roman" w:cs="Times New Roman"/>
                <w:i/>
                <w:sz w:val="24"/>
                <w:szCs w:val="24"/>
                <w:lang w:val="vi-VN"/>
              </w:rPr>
              <w:t xml:space="preserve">Tổ chức tín dụng là hợp tác xã phải thành lập Hội đồng xử lý rủi ro do Chủ tịch Hội đồng quản trị làm Chủ tịch và các thành viên gồm Trưởng ban kiểm soát, </w:t>
            </w:r>
            <w:r w:rsidRPr="00AF7630">
              <w:rPr>
                <w:rFonts w:ascii="Times New Roman" w:eastAsia="Times New Roman" w:hAnsi="Times New Roman" w:cs="Times New Roman"/>
                <w:i/>
                <w:sz w:val="24"/>
                <w:szCs w:val="24"/>
              </w:rPr>
              <w:t xml:space="preserve">Tổng giám đốc (giám đốc) </w:t>
            </w:r>
            <w:r w:rsidRPr="00AF7630">
              <w:rPr>
                <w:rFonts w:ascii="Times New Roman" w:eastAsia="Times New Roman" w:hAnsi="Times New Roman" w:cs="Times New Roman"/>
                <w:i/>
                <w:sz w:val="24"/>
                <w:szCs w:val="24"/>
                <w:lang w:val="vi-VN"/>
              </w:rPr>
              <w:t xml:space="preserve">và </w:t>
            </w:r>
            <w:r w:rsidRPr="00AF7630">
              <w:rPr>
                <w:rFonts w:ascii="Times New Roman" w:eastAsia="Times New Roman" w:hAnsi="Times New Roman" w:cs="Times New Roman"/>
                <w:i/>
                <w:sz w:val="24"/>
                <w:szCs w:val="24"/>
              </w:rPr>
              <w:t>tối đa 02 thành viên</w:t>
            </w:r>
            <w:r w:rsidRPr="00AF7630">
              <w:rPr>
                <w:rFonts w:ascii="Times New Roman" w:eastAsia="Times New Roman" w:hAnsi="Times New Roman" w:cs="Times New Roman"/>
                <w:i/>
                <w:sz w:val="24"/>
                <w:szCs w:val="24"/>
                <w:lang w:val="vi-VN"/>
              </w:rPr>
              <w:t xml:space="preserve"> khác do Chủ tịch Hội đồng quản trị quyết định.</w:t>
            </w:r>
            <w:r w:rsidRPr="00AF7630">
              <w:rPr>
                <w:rFonts w:ascii="Times New Roman" w:eastAsia="Times New Roman" w:hAnsi="Times New Roman" w:cs="Times New Roman"/>
                <w:i/>
                <w:sz w:val="24"/>
                <w:szCs w:val="24"/>
              </w:rPr>
              <w:t>”</w:t>
            </w:r>
          </w:p>
        </w:tc>
        <w:tc>
          <w:tcPr>
            <w:tcW w:w="5953" w:type="dxa"/>
          </w:tcPr>
          <w:p w:rsidR="00870CBB" w:rsidRPr="00AF7630" w:rsidRDefault="00870CBB" w:rsidP="00FC659F">
            <w:pPr>
              <w:pStyle w:val="ListParagraph"/>
              <w:ind w:left="0"/>
              <w:contextualSpacing w:val="0"/>
              <w:jc w:val="both"/>
              <w:rPr>
                <w:rFonts w:ascii="Times New Roman" w:hAnsi="Times New Roman" w:cs="Times New Roman"/>
                <w:i/>
                <w:iCs/>
                <w:sz w:val="24"/>
                <w:szCs w:val="24"/>
              </w:rPr>
            </w:pPr>
            <w:r w:rsidRPr="00AF7630">
              <w:rPr>
                <w:rFonts w:ascii="Times New Roman" w:hAnsi="Times New Roman" w:cs="Times New Roman"/>
                <w:sz w:val="24"/>
                <w:szCs w:val="24"/>
              </w:rPr>
              <w:lastRenderedPageBreak/>
              <w:t>Khoản 5 Điều 72 Luật Các tổ chức tín dụng có quy định:</w:t>
            </w:r>
            <w:r w:rsidRPr="00AF7630">
              <w:rPr>
                <w:rFonts w:ascii="Times New Roman" w:hAnsi="Times New Roman" w:cs="Times New Roman"/>
                <w:i/>
                <w:iCs/>
                <w:sz w:val="24"/>
                <w:szCs w:val="24"/>
              </w:rPr>
              <w:t xml:space="preserve"> “5. Thành viên Hội đồng quản trị không được ủy quyền cho người khác tham dự cuộc họp Hội đồng quản trị để quyết định nội dung quy định tại khoản 2, 4, 6, 7, 8, 9, 10, 12, 13, 14 và 18 Điều 70 của Luật Các tổ chức tín dụng.”</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hAnsi="Times New Roman" w:cs="Times New Roman"/>
                <w:sz w:val="24"/>
                <w:szCs w:val="24"/>
              </w:rPr>
              <w:t>Nội dung tại Khoản 1 Điều 14 của Dự thảo Nghị định không quy định về việc thành viên Hội đồng xử lý rủi ro (trong đó có thành viên Hội đồng quản trị) ủy quyền cho người khác thực hiện quyền, trách nhiệm của mình. Tuy nhiên, do Luật Các tổ chức tín dụng có quy định loại trừ một số nội dung được phép ủy quyền đối với thành viên Hội đồng quản trị. Vì vậy, căn cứ vào nội dung tại Khoản này và trách nhiệm của Hội đồng xử lý rủi ro nêu tại Khoản 2 Điều 14 Dự thảo Nghị định, SAIGONBANK đề xuất Đơn vị soạn thảo xem xét bổ sung thêm các giới hạn, phạm vi được phép ủy quyền của các thành viên Hội đồng xử lý rủi ro (bao gồm cả thành viên Hội đồng quản trị) để thuận tiện cho các tổ chức tín dụng xây dựng các quy chế hoạt động của Hội đồng xử lý rủi ro phù hợp với quy định của pháp luật.</w:t>
            </w:r>
          </w:p>
        </w:tc>
        <w:tc>
          <w:tcPr>
            <w:tcW w:w="2268" w:type="dxa"/>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SAIGONBANK</w:t>
            </w:r>
          </w:p>
        </w:tc>
        <w:tc>
          <w:tcPr>
            <w:tcW w:w="4677" w:type="dxa"/>
          </w:tcPr>
          <w:p w:rsidR="00870CBB" w:rsidRPr="00AF7630" w:rsidRDefault="00870CBB" w:rsidP="003A5FD6">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Nội dung này được xây dựng trên cơ sở kế thừa quy định tại Thông tư 11, theo đó không quy định về việc ủy quyền cho người khác thực hiện nhiệm vụ của Hội đồng xử lý rủi ro. </w:t>
            </w:r>
          </w:p>
        </w:tc>
      </w:tr>
      <w:tr w:rsidR="00870CBB" w:rsidRPr="00AF7630" w:rsidTr="0069372A">
        <w:tc>
          <w:tcPr>
            <w:tcW w:w="2978" w:type="dxa"/>
            <w:vMerge/>
          </w:tcPr>
          <w:p w:rsidR="00870CBB" w:rsidRPr="00AF7630" w:rsidRDefault="00870CBB" w:rsidP="0001557F">
            <w:pPr>
              <w:jc w:val="both"/>
              <w:rPr>
                <w:rFonts w:ascii="Times New Roman" w:eastAsia="Times New Roman" w:hAnsi="Times New Roman" w:cs="Times New Roman"/>
                <w:sz w:val="24"/>
                <w:szCs w:val="24"/>
              </w:rPr>
            </w:pPr>
          </w:p>
        </w:tc>
        <w:tc>
          <w:tcPr>
            <w:tcW w:w="5953" w:type="dxa"/>
          </w:tcPr>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Điểm a Khoản 1 Điều 14 Dự thảo kế thừa quy định tại </w:t>
            </w:r>
            <w:r w:rsidRPr="00AF7630">
              <w:rPr>
                <w:rFonts w:ascii="Times New Roman" w:eastAsia="Times New Roman" w:hAnsi="Times New Roman" w:cs="Times New Roman"/>
                <w:bCs/>
                <w:sz w:val="24"/>
                <w:szCs w:val="24"/>
              </w:rPr>
              <w:lastRenderedPageBreak/>
              <w:t>Thông tư 11 và đang ấn định một trong số các thành viên của Hội đồng xử lý rủi ro </w:t>
            </w:r>
            <w:r w:rsidRPr="00AF7630">
              <w:rPr>
                <w:rFonts w:ascii="Times New Roman" w:eastAsia="Times New Roman" w:hAnsi="Times New Roman" w:cs="Times New Roman"/>
                <w:b/>
                <w:bCs/>
                <w:sz w:val="24"/>
                <w:szCs w:val="24"/>
              </w:rPr>
              <w:t>phải là “Tổng Giám đốc</w:t>
            </w:r>
            <w:r w:rsidRPr="00AF7630">
              <w:rPr>
                <w:rFonts w:ascii="Times New Roman" w:eastAsia="Times New Roman" w:hAnsi="Times New Roman" w:cs="Times New Roman"/>
                <w:bCs/>
                <w:sz w:val="24"/>
                <w:szCs w:val="24"/>
              </w:rPr>
              <w:t> (Giám đốc)”. Kiến nghị Ban soạn thảo xem xét lại nội dung này và quy định theo hướng mở để tháo gỡ khó khăn cho các TCTD, cụ thể như sau:</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Quy trình bổ nhiệm Tổng Giám đốc cần nhiều thời gian: Ngoài việc phải lựa chọn người có đủ tiêu chuẩn, năng lực, còn phải thực hiện các thủ tục xin chấp thuận danh sách dự kiến người được bầu làm Tổng Giám đốc.</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Luật Các TCTD năm 2024 (Khoản 3 Điều 55) cũng đã cho phép các TCTD trong thời hạn </w:t>
            </w:r>
            <w:r w:rsidRPr="00AF7630">
              <w:rPr>
                <w:rFonts w:ascii="Times New Roman" w:eastAsia="Times New Roman" w:hAnsi="Times New Roman" w:cs="Times New Roman"/>
                <w:b/>
                <w:bCs/>
                <w:sz w:val="24"/>
                <w:szCs w:val="24"/>
                <w:u w:val="single"/>
              </w:rPr>
              <w:t>90 ngày</w:t>
            </w:r>
            <w:r w:rsidRPr="00AF7630">
              <w:rPr>
                <w:rFonts w:ascii="Times New Roman" w:eastAsia="Times New Roman" w:hAnsi="Times New Roman" w:cs="Times New Roman"/>
                <w:bCs/>
                <w:sz w:val="24"/>
                <w:szCs w:val="24"/>
              </w:rPr>
              <w:t> kể từ ngày khuyết Tổng Giám đốc phải bổ nhiệm Tổng Giám đốc mới. Do đó, để phù hợp với điểm mới của Luật Các TCTD năm 2024 cũng như phù hợp với thực tế thực hiện, kiến nghị Ban soạn thảo không quy định cứng 01 thành viên của Hội đồng xử lý rủi ro phải là Tổng Giám đốc mà quy định theo hướng: </w:t>
            </w:r>
            <w:r w:rsidRPr="00AF7630">
              <w:rPr>
                <w:rFonts w:ascii="Times New Roman" w:eastAsia="Times New Roman" w:hAnsi="Times New Roman" w:cs="Times New Roman"/>
                <w:b/>
                <w:bCs/>
                <w:sz w:val="24"/>
                <w:szCs w:val="24"/>
                <w:u w:val="single"/>
              </w:rPr>
              <w:t>01 thành viên là Người quản lý của tổ chức tín dụng</w:t>
            </w:r>
            <w:r w:rsidRPr="00AF7630">
              <w:rPr>
                <w:rFonts w:ascii="Times New Roman" w:eastAsia="Times New Roman" w:hAnsi="Times New Roman" w:cs="Times New Roman"/>
                <w:bCs/>
                <w:sz w:val="24"/>
                <w:szCs w:val="24"/>
              </w:rPr>
              <w:t>. Trong đó, Người quản lý của tổ chức tín dụng xác định theo quy định tại Khoản 26 Điều 4 Luật Các TCTD năm 2024.</w:t>
            </w:r>
          </w:p>
        </w:tc>
        <w:tc>
          <w:tcPr>
            <w:tcW w:w="2268" w:type="dxa"/>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PGBank</w:t>
            </w:r>
          </w:p>
        </w:tc>
        <w:tc>
          <w:tcPr>
            <w:tcW w:w="4677" w:type="dxa"/>
          </w:tcPr>
          <w:p w:rsidR="00870CBB" w:rsidRPr="00AF7630" w:rsidRDefault="00870CBB" w:rsidP="003A5FD6">
            <w:pPr>
              <w:jc w:val="both"/>
              <w:rPr>
                <w:rFonts w:ascii="Times New Roman" w:eastAsia="Times New Roman" w:hAnsi="Times New Roman" w:cs="Times New Roman"/>
                <w:sz w:val="24"/>
                <w:szCs w:val="24"/>
              </w:rPr>
            </w:pPr>
            <w:r w:rsidRPr="00AF7630">
              <w:rPr>
                <w:rFonts w:ascii="Times New Roman" w:eastAsia="Times New Roman" w:hAnsi="Times New Roman" w:cs="Times New Roman"/>
                <w:b/>
                <w:sz w:val="24"/>
                <w:szCs w:val="24"/>
              </w:rPr>
              <w:t>Tiếp thu</w:t>
            </w:r>
            <w:r w:rsidRPr="00AF7630">
              <w:rPr>
                <w:rFonts w:ascii="Times New Roman" w:eastAsia="Times New Roman" w:hAnsi="Times New Roman" w:cs="Times New Roman"/>
                <w:sz w:val="24"/>
                <w:szCs w:val="24"/>
              </w:rPr>
              <w:t xml:space="preserve">, Dự thảo Nghị định đã bổ suung tại </w:t>
            </w:r>
            <w:r w:rsidRPr="00AF7630">
              <w:rPr>
                <w:rFonts w:ascii="Times New Roman" w:eastAsia="Times New Roman" w:hAnsi="Times New Roman" w:cs="Times New Roman"/>
                <w:sz w:val="24"/>
                <w:szCs w:val="24"/>
              </w:rPr>
              <w:lastRenderedPageBreak/>
              <w:t>khoản 3 Điều 10 như sau:</w:t>
            </w:r>
          </w:p>
          <w:p w:rsidR="00870CBB" w:rsidRPr="00AF7630" w:rsidRDefault="00870CBB" w:rsidP="00541ACA">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i/>
                <w:sz w:val="24"/>
                <w:szCs w:val="24"/>
              </w:rPr>
              <w:t>“3. Hội đồng xử lý rủi ro làm việc khi có tối thiểu hai phần ba số lượng thành viên tham dự và quyết định theo nguyên tắc đa số.”</w:t>
            </w:r>
          </w:p>
          <w:p w:rsidR="00870CBB" w:rsidRPr="00AF7630" w:rsidRDefault="00870CBB" w:rsidP="0001557F">
            <w:pPr>
              <w:jc w:val="both"/>
              <w:rPr>
                <w:rFonts w:ascii="Times New Roman" w:eastAsia="Times New Roman" w:hAnsi="Times New Roman" w:cs="Times New Roman"/>
                <w:sz w:val="24"/>
                <w:szCs w:val="24"/>
              </w:rPr>
            </w:pPr>
          </w:p>
        </w:tc>
      </w:tr>
      <w:tr w:rsidR="00870CBB" w:rsidRPr="00AF7630" w:rsidTr="0069372A">
        <w:tc>
          <w:tcPr>
            <w:tcW w:w="2978" w:type="dxa"/>
            <w:vMerge w:val="restart"/>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Khoản 2 Điều 14 DTNĐ:</w:t>
            </w:r>
          </w:p>
          <w:p w:rsidR="00870CBB" w:rsidRPr="00AF7630" w:rsidRDefault="00870CBB"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2. Trách nhiệm Hội đồng xử lý rủi ro</w:t>
            </w:r>
            <w:r w:rsidRPr="00AF7630">
              <w:rPr>
                <w:rFonts w:ascii="Times New Roman" w:eastAsia="Times New Roman" w:hAnsi="Times New Roman" w:cs="Times New Roman"/>
                <w:i/>
                <w:sz w:val="24"/>
                <w:szCs w:val="24"/>
              </w:rPr>
              <w:t xml:space="preserve"> của tổ chức tín dụng, chi nhánh ngân hàng nước ngoài</w:t>
            </w:r>
            <w:r w:rsidRPr="00AF7630" w:rsidDel="00CC2D5A">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rPr>
              <w:t>đối với khoản nợ sử dụng dự phòng để xử lý rủi ro</w:t>
            </w:r>
            <w:r w:rsidRPr="00AF7630">
              <w:rPr>
                <w:rFonts w:ascii="Times New Roman" w:eastAsia="Times New Roman" w:hAnsi="Times New Roman" w:cs="Times New Roman"/>
                <w:i/>
                <w:sz w:val="24"/>
                <w:szCs w:val="24"/>
                <w:lang w:val="vi-VN"/>
              </w:rPr>
              <w:t>:</w:t>
            </w:r>
          </w:p>
          <w:p w:rsidR="00870CBB" w:rsidRPr="00AF7630" w:rsidRDefault="00870CBB"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 xml:space="preserve">a) Phê duyệt báo cáo tổng </w:t>
            </w:r>
            <w:r w:rsidRPr="00AF7630">
              <w:rPr>
                <w:rFonts w:ascii="Times New Roman" w:eastAsia="Times New Roman" w:hAnsi="Times New Roman" w:cs="Times New Roman"/>
                <w:i/>
                <w:sz w:val="24"/>
                <w:szCs w:val="24"/>
                <w:lang w:val="vi-VN"/>
              </w:rPr>
              <w:lastRenderedPageBreak/>
              <w:t xml:space="preserve">hợp toàn hệ thống về kết quả thu hồi nợ đã sử dụng dự phòng </w:t>
            </w:r>
            <w:r w:rsidRPr="00AF7630">
              <w:rPr>
                <w:rFonts w:ascii="Times New Roman" w:eastAsia="Times New Roman" w:hAnsi="Times New Roman" w:cs="Times New Roman"/>
                <w:i/>
                <w:sz w:val="24"/>
                <w:szCs w:val="24"/>
              </w:rPr>
              <w:t xml:space="preserve">để xử lý </w:t>
            </w:r>
            <w:r w:rsidRPr="00AF7630">
              <w:rPr>
                <w:rFonts w:ascii="Times New Roman" w:eastAsia="Times New Roman" w:hAnsi="Times New Roman" w:cs="Times New Roman"/>
                <w:i/>
                <w:sz w:val="24"/>
                <w:szCs w:val="24"/>
                <w:lang w:val="vi-VN"/>
              </w:rPr>
              <w:t>rủi ro, bao gồm kết quả xử lý tài sản bảo đảm và xác định rõ cơ sở của việc phê duyệt;</w:t>
            </w:r>
          </w:p>
          <w:p w:rsidR="00870CBB" w:rsidRPr="00AF7630" w:rsidRDefault="00870CBB" w:rsidP="0001557F">
            <w:pPr>
              <w:jc w:val="both"/>
              <w:rPr>
                <w:rFonts w:ascii="Times New Roman" w:eastAsia="Times New Roman" w:hAnsi="Times New Roman" w:cs="Times New Roman"/>
                <w:i/>
                <w:sz w:val="24"/>
                <w:szCs w:val="24"/>
                <w:lang w:val="vi-VN"/>
              </w:rPr>
            </w:pPr>
            <w:r w:rsidRPr="00AF7630">
              <w:rPr>
                <w:rFonts w:ascii="Times New Roman" w:eastAsia="Times New Roman" w:hAnsi="Times New Roman" w:cs="Times New Roman"/>
                <w:i/>
                <w:sz w:val="24"/>
                <w:szCs w:val="24"/>
                <w:lang w:val="vi-VN"/>
              </w:rPr>
              <w:t>b) Quyết định hoặc phê duyệt việc phân loại nợ, cam kết ngoại bảng, trích lập dự phòng, sử dụng dự phòng</w:t>
            </w:r>
            <w:r w:rsidRPr="00AF7630">
              <w:rPr>
                <w:rFonts w:ascii="Times New Roman" w:eastAsia="Times New Roman" w:hAnsi="Times New Roman" w:cs="Times New Roman"/>
                <w:i/>
                <w:sz w:val="24"/>
                <w:szCs w:val="24"/>
              </w:rPr>
              <w:t xml:space="preserve"> để xử lý</w:t>
            </w:r>
            <w:r w:rsidRPr="00AF7630">
              <w:rPr>
                <w:rFonts w:ascii="Times New Roman" w:eastAsia="Times New Roman" w:hAnsi="Times New Roman" w:cs="Times New Roman"/>
                <w:i/>
                <w:sz w:val="24"/>
                <w:szCs w:val="24"/>
                <w:lang w:val="vi-VN"/>
              </w:rPr>
              <w:t xml:space="preserve"> rủi ro trong toàn hệ thống;</w:t>
            </w:r>
          </w:p>
          <w:p w:rsidR="00870CBB" w:rsidRPr="00AF7630" w:rsidRDefault="00870CBB" w:rsidP="0001557F">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i/>
                <w:sz w:val="24"/>
                <w:szCs w:val="24"/>
                <w:lang w:val="vi-VN"/>
              </w:rPr>
              <w:t>c) Quyết định hoặc phê duyệt các biện pháp thu hồi nợ đã được sử dụng dự phòng</w:t>
            </w:r>
            <w:r w:rsidRPr="00AF7630">
              <w:rPr>
                <w:rFonts w:ascii="Times New Roman" w:eastAsia="Times New Roman" w:hAnsi="Times New Roman" w:cs="Times New Roman"/>
                <w:i/>
                <w:sz w:val="24"/>
                <w:szCs w:val="24"/>
              </w:rPr>
              <w:t xml:space="preserve"> để xử lý rủi ro</w:t>
            </w:r>
            <w:r w:rsidRPr="00AF7630">
              <w:rPr>
                <w:rFonts w:ascii="Times New Roman" w:eastAsia="Times New Roman" w:hAnsi="Times New Roman" w:cs="Times New Roman"/>
                <w:i/>
                <w:sz w:val="24"/>
                <w:szCs w:val="24"/>
                <w:lang w:val="vi-VN"/>
              </w:rPr>
              <w:t xml:space="preserve"> trong toàn hệ thống, bao gồm cả việc xử lý tài sản bảo đảm.</w:t>
            </w:r>
            <w:r w:rsidRPr="00AF7630">
              <w:rPr>
                <w:rFonts w:ascii="Times New Roman" w:eastAsia="Times New Roman" w:hAnsi="Times New Roman" w:cs="Times New Roman"/>
                <w:i/>
                <w:sz w:val="24"/>
                <w:szCs w:val="24"/>
              </w:rPr>
              <w:t>”</w:t>
            </w:r>
          </w:p>
        </w:tc>
        <w:tc>
          <w:tcPr>
            <w:tcW w:w="5953" w:type="dxa"/>
          </w:tcPr>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 xml:space="preserve">- Khoản 2 quy định trách nhiệm của Hội đồng xử lý rủi ro </w:t>
            </w:r>
            <w:r w:rsidRPr="00AF7630">
              <w:rPr>
                <w:rFonts w:ascii="Times New Roman" w:eastAsia="Times New Roman" w:hAnsi="Times New Roman" w:cs="Times New Roman"/>
                <w:bCs/>
                <w:sz w:val="24"/>
                <w:szCs w:val="24"/>
                <w:u w:val="single"/>
              </w:rPr>
              <w:t>đối với khoản nợ sử dụng dự phòng để xử lý rủi ro</w:t>
            </w:r>
            <w:r w:rsidRPr="00AF7630">
              <w:rPr>
                <w:rFonts w:ascii="Times New Roman" w:eastAsia="Times New Roman" w:hAnsi="Times New Roman" w:cs="Times New Roman"/>
                <w:bCs/>
                <w:sz w:val="24"/>
                <w:szCs w:val="24"/>
              </w:rPr>
              <w:t>.</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Điểm b của khoản 2 Điều này quy định Hội đồng xử lý rủi ro quyết định hoặc phê duyệt việc phân loại nợ, cam kết ngoại bảng… trong toàn hệ thống. Ngân hàng hiểu rằng có bao gồm luôn khoản nợ không sử dụng dự phòng để xử lý rủi ro (nợ nhóm 1, nhóm 2, nhóm 3, nhóm 4).</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Hai điểm này mâu thuẫn với nhau.</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lastRenderedPageBreak/>
              <w:t>=&gt; Kiến nghị NHNN:</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 Làm rõ trách nhiệm của Hội đồng xử lý rủi ro để tránh gây mâu thuẫn khi triển khai Nghị định. </w:t>
            </w:r>
            <w:r w:rsidRPr="00AF7630">
              <w:rPr>
                <w:rFonts w:ascii="Times New Roman" w:eastAsia="Times New Roman" w:hAnsi="Times New Roman" w:cs="Times New Roman"/>
                <w:b/>
                <w:bCs/>
                <w:sz w:val="24"/>
                <w:szCs w:val="24"/>
              </w:rPr>
              <w:t>(</w:t>
            </w:r>
            <w:r w:rsidRPr="00AF7630">
              <w:rPr>
                <w:rFonts w:ascii="Times New Roman" w:eastAsia="Times New Roman" w:hAnsi="Times New Roman" w:cs="Times New Roman"/>
                <w:b/>
                <w:sz w:val="24"/>
                <w:szCs w:val="24"/>
              </w:rPr>
              <w:t>HSBC)</w:t>
            </w:r>
          </w:p>
          <w:p w:rsidR="00870CBB" w:rsidRPr="00AF7630" w:rsidRDefault="00870CBB" w:rsidP="0001557F">
            <w:pPr>
              <w:jc w:val="both"/>
              <w:rPr>
                <w:rFonts w:ascii="Times New Roman" w:hAnsi="Times New Roman" w:cs="Times New Roman"/>
                <w:b/>
                <w:sz w:val="24"/>
                <w:szCs w:val="24"/>
              </w:rPr>
            </w:pPr>
            <w:r w:rsidRPr="00AF7630">
              <w:rPr>
                <w:rFonts w:ascii="Times New Roman" w:hAnsi="Times New Roman" w:cs="Times New Roman"/>
                <w:sz w:val="24"/>
                <w:szCs w:val="24"/>
              </w:rPr>
              <w:t xml:space="preserve">- Đề nghị cân nhắc lược bỏ cụm từ “đối với khoản nợ sử dụng dự phòng để xử lý rủi ro” tại tiều đề khoản 2 Điều 14 để đảm bảo bao quát đủ trách nhiệm của Hội đồng XLRR bao gồm cả “quyết định hoặc phê duyệt việc phân loại nợ, cam kết ngoại bảng,…” tại điểm b khoản 2. </w:t>
            </w:r>
            <w:r w:rsidRPr="00AF7630">
              <w:rPr>
                <w:rFonts w:ascii="Times New Roman" w:hAnsi="Times New Roman" w:cs="Times New Roman"/>
                <w:b/>
                <w:sz w:val="24"/>
                <w:szCs w:val="24"/>
              </w:rPr>
              <w:t>(Agribank)</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Đề nghị sửa điểm b khoản 2 theo hướng bỏ nội dung liên quan đến “phân loại nợ, cam kết ngoại bảng” như sau:</w:t>
            </w:r>
          </w:p>
          <w:p w:rsidR="00870CBB" w:rsidRPr="00AF7630" w:rsidRDefault="00870CBB" w:rsidP="0001557F">
            <w:pPr>
              <w:jc w:val="both"/>
              <w:rPr>
                <w:rFonts w:ascii="Times New Roman" w:eastAsia="Times New Roman" w:hAnsi="Times New Roman" w:cs="Times New Roman"/>
                <w:bCs/>
                <w:i/>
                <w:sz w:val="24"/>
                <w:szCs w:val="24"/>
              </w:rPr>
            </w:pPr>
            <w:r w:rsidRPr="00AF7630">
              <w:rPr>
                <w:rFonts w:ascii="Times New Roman" w:eastAsia="Times New Roman" w:hAnsi="Times New Roman" w:cs="Times New Roman"/>
                <w:bCs/>
                <w:sz w:val="24"/>
                <w:szCs w:val="24"/>
              </w:rPr>
              <w:t>“</w:t>
            </w:r>
            <w:r w:rsidRPr="00AF7630">
              <w:rPr>
                <w:rFonts w:ascii="Times New Roman" w:eastAsia="Times New Roman" w:hAnsi="Times New Roman" w:cs="Times New Roman"/>
                <w:bCs/>
                <w:i/>
                <w:sz w:val="24"/>
                <w:szCs w:val="24"/>
              </w:rPr>
              <w:t xml:space="preserve">b) Quyết định hoặc phê duyệt việc trích lập dự phòng, sử dụng dự phòng để xử lý rủi ro trong toàn hệ .” </w:t>
            </w:r>
            <w:r w:rsidRPr="00AF7630">
              <w:rPr>
                <w:rFonts w:ascii="Times New Roman" w:eastAsia="Times New Roman" w:hAnsi="Times New Roman" w:cs="Times New Roman"/>
                <w:bCs/>
                <w:iCs/>
                <w:sz w:val="24"/>
                <w:szCs w:val="24"/>
              </w:rPr>
              <w:t>Lý do:</w:t>
            </w:r>
            <w:r w:rsidRPr="00AF7630">
              <w:rPr>
                <w:rFonts w:ascii="Times New Roman" w:eastAsia="Times New Roman" w:hAnsi="Times New Roman" w:cs="Times New Roman"/>
                <w:bCs/>
                <w:sz w:val="24"/>
                <w:szCs w:val="24"/>
              </w:rPr>
              <w:t> </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
                <w:bCs/>
                <w:sz w:val="24"/>
                <w:szCs w:val="24"/>
              </w:rPr>
              <w:t>+</w:t>
            </w:r>
            <w:r w:rsidRPr="00AF7630">
              <w:rPr>
                <w:rFonts w:ascii="Times New Roman" w:eastAsia="Times New Roman" w:hAnsi="Times New Roman" w:cs="Times New Roman"/>
                <w:bCs/>
                <w:sz w:val="24"/>
                <w:szCs w:val="24"/>
              </w:rPr>
              <w:t xml:space="preserve"> Dự thảo chỉ quy định về việc trích lập dự phòng nên việc quy định các trách nhiệm của Hội đồng xử lý rủi ro liên quan đến việc phân loại nợ tại Dự thảo là chưa phù hợp. </w:t>
            </w:r>
            <w:r w:rsidRPr="00AF7630">
              <w:rPr>
                <w:rFonts w:ascii="Times New Roman" w:eastAsia="Times New Roman" w:hAnsi="Times New Roman" w:cs="Times New Roman"/>
                <w:b/>
                <w:bCs/>
                <w:sz w:val="24"/>
                <w:szCs w:val="24"/>
              </w:rPr>
              <w:t>(</w:t>
            </w:r>
            <w:r w:rsidRPr="00AF7630">
              <w:rPr>
                <w:rFonts w:ascii="Times New Roman" w:eastAsia="Times New Roman" w:hAnsi="Times New Roman" w:cs="Times New Roman"/>
                <w:b/>
                <w:sz w:val="24"/>
                <w:szCs w:val="24"/>
              </w:rPr>
              <w:t>CN Lâm Đồng, VietCredit, VPBank)</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Việc phân loại nợ hiện đã có quy định pháp luật rất rõ ràng, dựa trên các yếu tố định lượng và thông thường các TCTD thường sử dụng hệ thống để theo dõi và phân loại nợ một cách tự động. Do vậy việc yêu cầu HĐ XLRR phải phê duyệt lại kết quả phân loại nợ do hệ thống tính toán là không cần thiết và chỉ mang tính hình thức. Hiện tại NHNN cũng đã chấp nhận việc gửi các báo cáo tới NHNN thông qua cơ chế truyền dữ liệu trực tiếp và gắn với trách nhiệm của TCTD. Do vậy hoàn toàn có thể áp dụng cơ chế tương tự đối với kết quả phân loại nợ. (</w:t>
            </w:r>
            <w:r w:rsidRPr="00AF7630">
              <w:rPr>
                <w:rFonts w:ascii="Times New Roman" w:eastAsia="Times New Roman" w:hAnsi="Times New Roman" w:cs="Times New Roman"/>
                <w:b/>
                <w:sz w:val="24"/>
                <w:szCs w:val="24"/>
              </w:rPr>
              <w:t>VPBank)</w:t>
            </w:r>
          </w:p>
          <w:p w:rsidR="00870CBB" w:rsidRPr="00AF7630" w:rsidRDefault="00870CBB" w:rsidP="0001557F">
            <w:pPr>
              <w:jc w:val="both"/>
              <w:rPr>
                <w:rFonts w:ascii="Times New Roman" w:hAnsi="Times New Roman" w:cs="Times New Roman"/>
                <w:b/>
                <w:sz w:val="24"/>
                <w:szCs w:val="24"/>
              </w:rPr>
            </w:pPr>
            <w:r w:rsidRPr="00AF7630">
              <w:rPr>
                <w:rFonts w:ascii="Times New Roman" w:eastAsia="Times New Roman" w:hAnsi="Times New Roman" w:cs="Times New Roman"/>
                <w:color w:val="000000"/>
                <w:sz w:val="24"/>
                <w:szCs w:val="24"/>
              </w:rPr>
              <w:t xml:space="preserve">+ Trong Dự thảo Thông tư quy định phân loại tài sản có của NHNN và Dự thảo Nghị định không có quy định về cấp thẩm quyền của TCTD trong việc phê duyệt/quyết định phân loại nợ, cam kết ngoại bảng, trích lập dự phòng rủi ro mà thực hiện theo quy định nội bộ của từng TCTD. Do đó, đề xuất việc phân loại nợ, cam kết ngoại bảng, trích lập dự phòng rủi ro đối với khoản nợ sử dụng dự phòng để xử lý rủi ro cũng cần thực hiện theo phê duyệt/quyết định của cấp thẩm quyền theo quy định nội bộ của TCTD. Hội đồng xử lý rủi ro chỉ có trách nhiệm thực hiện quyết định hoặc phê duyệt sử dụng dự phòng để xử lý rủi ro đối với khoản </w:t>
            </w:r>
            <w:r w:rsidRPr="00AF7630">
              <w:rPr>
                <w:rFonts w:ascii="Times New Roman" w:eastAsia="Times New Roman" w:hAnsi="Times New Roman" w:cs="Times New Roman"/>
                <w:color w:val="000000"/>
                <w:sz w:val="24"/>
                <w:szCs w:val="24"/>
              </w:rPr>
              <w:lastRenderedPageBreak/>
              <w:t xml:space="preserve">nợ sử dụng dự phòng để xử lý rủi ro. </w:t>
            </w:r>
            <w:r w:rsidRPr="00AF7630">
              <w:rPr>
                <w:rFonts w:ascii="Times New Roman" w:eastAsia="Times New Roman" w:hAnsi="Times New Roman" w:cs="Times New Roman"/>
                <w:b/>
                <w:color w:val="000000"/>
                <w:sz w:val="24"/>
                <w:szCs w:val="24"/>
              </w:rPr>
              <w:t>(</w:t>
            </w:r>
            <w:r w:rsidRPr="00AF7630">
              <w:rPr>
                <w:rFonts w:ascii="Times New Roman" w:hAnsi="Times New Roman" w:cs="Times New Roman"/>
                <w:b/>
                <w:sz w:val="24"/>
                <w:szCs w:val="24"/>
              </w:rPr>
              <w:t>VietinBank)</w:t>
            </w:r>
          </w:p>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Việc phân loại nợ, cam kết ngoại bảng, trích lập dự phòng phải thực hiện </w:t>
            </w:r>
            <w:r w:rsidRPr="00AF7630">
              <w:rPr>
                <w:rFonts w:ascii="Times New Roman" w:eastAsia="Times New Roman" w:hAnsi="Times New Roman" w:cs="Times New Roman"/>
                <w:b/>
                <w:bCs/>
                <w:sz w:val="24"/>
                <w:szCs w:val="24"/>
              </w:rPr>
              <w:t>thường xuyên hàng tháng</w:t>
            </w:r>
            <w:r w:rsidRPr="00AF7630">
              <w:rPr>
                <w:rFonts w:ascii="Times New Roman" w:eastAsia="Times New Roman" w:hAnsi="Times New Roman" w:cs="Times New Roman"/>
                <w:bCs/>
                <w:sz w:val="24"/>
                <w:szCs w:val="24"/>
              </w:rPr>
              <w:t> và phải thực hiện trong thời gian ngắn (trong vòng 05 ngày làm việc đầu tiên của tháng (đối với tự phân loại) và trong vòng 02 ngày làm việc kể từ ngày nhận được danh sách khách hàng do CIC cung cấp)). Khi ấn định trách nhiệm phân loại nợ, cam kết ngoại bảng, trích lập dự phòng cho Hội đồng xử lý rủi ro sẽ có bất cập khi Hội đồng là một tập thể, để quyết định bất kỳ việc gì phải tiến hành các thủ tục họp hoặc lấy ý kiến bằng văn bản, do đó sẽ mất nhiều thời gian, thủ tục.</w:t>
            </w:r>
            <w:r w:rsidRPr="00AF7630">
              <w:rPr>
                <w:rFonts w:ascii="Times New Roman" w:eastAsia="Times New Roman" w:hAnsi="Times New Roman" w:cs="Times New Roman"/>
                <w:b/>
                <w:sz w:val="24"/>
                <w:szCs w:val="24"/>
              </w:rPr>
              <w:t xml:space="preserve"> </w:t>
            </w:r>
            <w:r w:rsidRPr="00AF7630">
              <w:rPr>
                <w:rFonts w:ascii="Times New Roman" w:eastAsia="Times New Roman" w:hAnsi="Times New Roman" w:cs="Times New Roman"/>
                <w:bCs/>
                <w:sz w:val="24"/>
                <w:szCs w:val="24"/>
              </w:rPr>
              <w:t>Theo đó, đề nghị phân quyền cho Tổng Giám đốc hoặc cấp có thẩm quyền khác của TCTD thẩm quyền phê duyệt kết quả phân loại nợ, cam kết ngoại bảng, trích lập dự phòng. (</w:t>
            </w:r>
            <w:r w:rsidRPr="00AF7630">
              <w:rPr>
                <w:rFonts w:ascii="Times New Roman" w:eastAsia="Times New Roman" w:hAnsi="Times New Roman" w:cs="Times New Roman"/>
                <w:b/>
                <w:sz w:val="24"/>
                <w:szCs w:val="24"/>
              </w:rPr>
              <w:t>PGBank)</w:t>
            </w:r>
          </w:p>
        </w:tc>
        <w:tc>
          <w:tcPr>
            <w:tcW w:w="2268" w:type="dxa"/>
          </w:tcPr>
          <w:p w:rsidR="00870CBB" w:rsidRPr="00AF7630" w:rsidRDefault="00870CBB">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 xml:space="preserve">HSBC, </w:t>
            </w:r>
            <w:r w:rsidRPr="00AF7630">
              <w:rPr>
                <w:rFonts w:ascii="Times New Roman" w:hAnsi="Times New Roman" w:cs="Times New Roman"/>
                <w:sz w:val="24"/>
                <w:szCs w:val="24"/>
              </w:rPr>
              <w:t>Agribank,</w:t>
            </w:r>
            <w:r w:rsidRPr="00AF7630">
              <w:rPr>
                <w:rFonts w:ascii="Times New Roman" w:eastAsia="Times New Roman" w:hAnsi="Times New Roman" w:cs="Times New Roman"/>
                <w:sz w:val="24"/>
                <w:szCs w:val="24"/>
              </w:rPr>
              <w:t xml:space="preserve">  VietCredit, VPBank, VietinBank, PGBank</w:t>
            </w:r>
          </w:p>
        </w:tc>
        <w:tc>
          <w:tcPr>
            <w:tcW w:w="4677" w:type="dxa"/>
          </w:tcPr>
          <w:p w:rsidR="00870CBB" w:rsidRPr="00AF7630" w:rsidRDefault="00870CBB" w:rsidP="0001557F">
            <w:pPr>
              <w:jc w:val="both"/>
              <w:rPr>
                <w:rFonts w:ascii="Times New Roman" w:eastAsia="Times New Roman" w:hAnsi="Times New Roman" w:cs="Times New Roman"/>
                <w:b/>
                <w:sz w:val="24"/>
                <w:szCs w:val="24"/>
              </w:rPr>
            </w:pPr>
            <w:r w:rsidRPr="00AF7630">
              <w:rPr>
                <w:rFonts w:ascii="Times New Roman" w:eastAsia="Times New Roman" w:hAnsi="Times New Roman" w:cs="Times New Roman"/>
                <w:b/>
                <w:sz w:val="24"/>
                <w:szCs w:val="24"/>
              </w:rPr>
              <w:t>Tiếp thu</w:t>
            </w:r>
          </w:p>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tại dự thảo Nghị định được hiểu là trách nhiệm của Hội đồng xử lý rủi ro đối với khoản nợ sử dụng dự phòng để xử lý rủi ro.</w:t>
            </w:r>
          </w:p>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Theo đó, để đảm bảo rõ ràng, chỉnh sửa tại điểm b khoản 2 Điều 10 theo hướng bổ sumg thêm cụm từ </w:t>
            </w:r>
            <w:r w:rsidRPr="00AF7630">
              <w:rPr>
                <w:rFonts w:ascii="Times New Roman" w:eastAsia="Times New Roman" w:hAnsi="Times New Roman" w:cs="Times New Roman"/>
                <w:i/>
                <w:sz w:val="24"/>
                <w:szCs w:val="24"/>
              </w:rPr>
              <w:t>“đối với khoản nợ sử dụng dự phòng để xử lý rủi ro”</w:t>
            </w:r>
            <w:r w:rsidRPr="00AF7630">
              <w:rPr>
                <w:rFonts w:ascii="Times New Roman" w:eastAsia="Times New Roman" w:hAnsi="Times New Roman" w:cs="Times New Roman"/>
                <w:sz w:val="24"/>
                <w:szCs w:val="24"/>
              </w:rPr>
              <w:t xml:space="preserve"> và bỏ cụm từ “cam kết </w:t>
            </w:r>
            <w:r w:rsidRPr="00AF7630">
              <w:rPr>
                <w:rFonts w:ascii="Times New Roman" w:eastAsia="Times New Roman" w:hAnsi="Times New Roman" w:cs="Times New Roman"/>
                <w:sz w:val="24"/>
                <w:szCs w:val="24"/>
              </w:rPr>
              <w:lastRenderedPageBreak/>
              <w:t>ngoại bảng” do không phải trích dự phòng rủi ro đối với các cam kết ngoại bảng. Nội dung sửa đổi cụ thể như sau:</w:t>
            </w:r>
          </w:p>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i/>
                <w:sz w:val="24"/>
                <w:szCs w:val="24"/>
              </w:rPr>
              <w:t>“</w:t>
            </w:r>
            <w:r w:rsidRPr="00AF7630">
              <w:rPr>
                <w:rFonts w:ascii="Times New Roman" w:eastAsia="Times New Roman" w:hAnsi="Times New Roman" w:cs="Times New Roman"/>
                <w:i/>
                <w:sz w:val="24"/>
                <w:szCs w:val="24"/>
                <w:lang w:val="vi-VN"/>
              </w:rPr>
              <w:t xml:space="preserve">b) Quyết định hoặc phê duyệt việc phân loại nợ, </w:t>
            </w:r>
            <w:r w:rsidRPr="00AF7630">
              <w:rPr>
                <w:rFonts w:ascii="Times New Roman" w:eastAsia="Times New Roman" w:hAnsi="Times New Roman" w:cs="Times New Roman"/>
                <w:i/>
                <w:strike/>
                <w:sz w:val="24"/>
                <w:szCs w:val="24"/>
              </w:rPr>
              <w:t>cam kết ngoại bảng</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lang w:val="vi-VN"/>
              </w:rPr>
              <w:t>trích lập dự phòng, sử dụng dự phòng</w:t>
            </w:r>
            <w:r w:rsidRPr="00AF7630">
              <w:rPr>
                <w:rFonts w:ascii="Times New Roman" w:eastAsia="Times New Roman" w:hAnsi="Times New Roman" w:cs="Times New Roman"/>
                <w:i/>
                <w:sz w:val="24"/>
                <w:szCs w:val="24"/>
              </w:rPr>
              <w:t xml:space="preserve"> để xử lý</w:t>
            </w:r>
            <w:r w:rsidRPr="00AF7630">
              <w:rPr>
                <w:rFonts w:ascii="Times New Roman" w:eastAsia="Times New Roman" w:hAnsi="Times New Roman" w:cs="Times New Roman"/>
                <w:i/>
                <w:sz w:val="24"/>
                <w:szCs w:val="24"/>
                <w:lang w:val="vi-VN"/>
              </w:rPr>
              <w:t xml:space="preserve"> rủi ro trong toàn hệ thống</w:t>
            </w:r>
            <w:r w:rsidRPr="00AF7630">
              <w:rPr>
                <w:rFonts w:ascii="Times New Roman" w:eastAsia="Times New Roman" w:hAnsi="Times New Roman" w:cs="Times New Roman"/>
                <w:i/>
                <w:sz w:val="24"/>
                <w:szCs w:val="24"/>
              </w:rPr>
              <w:t xml:space="preserve"> </w:t>
            </w:r>
            <w:r w:rsidRPr="00AF7630">
              <w:rPr>
                <w:rFonts w:ascii="Times New Roman" w:eastAsia="Times New Roman" w:hAnsi="Times New Roman" w:cs="Times New Roman"/>
                <w:i/>
                <w:sz w:val="24"/>
                <w:szCs w:val="24"/>
                <w:u w:val="single"/>
              </w:rPr>
              <w:t>đối với khoản nợ sử dụng dự phòng để xử lý rủi ro</w:t>
            </w:r>
            <w:r w:rsidRPr="00AF7630">
              <w:rPr>
                <w:rFonts w:ascii="Times New Roman" w:eastAsia="Times New Roman" w:hAnsi="Times New Roman" w:cs="Times New Roman"/>
                <w:i/>
                <w:sz w:val="24"/>
                <w:szCs w:val="24"/>
                <w:lang w:val="vi-VN"/>
              </w:rPr>
              <w:t>;</w:t>
            </w:r>
            <w:r w:rsidRPr="00AF7630">
              <w:rPr>
                <w:rFonts w:ascii="Times New Roman" w:eastAsia="Times New Roman" w:hAnsi="Times New Roman" w:cs="Times New Roman"/>
                <w:i/>
                <w:sz w:val="24"/>
                <w:szCs w:val="24"/>
              </w:rPr>
              <w:t>”</w:t>
            </w:r>
          </w:p>
        </w:tc>
      </w:tr>
      <w:tr w:rsidR="00870CBB" w:rsidRPr="00AF7630" w:rsidTr="0069372A">
        <w:tc>
          <w:tcPr>
            <w:tcW w:w="2978" w:type="dxa"/>
            <w:vMerge/>
          </w:tcPr>
          <w:p w:rsidR="00870CBB" w:rsidRPr="00AF7630" w:rsidRDefault="00870CBB" w:rsidP="0001557F">
            <w:pPr>
              <w:jc w:val="both"/>
              <w:rPr>
                <w:rFonts w:ascii="Times New Roman" w:eastAsia="Times New Roman" w:hAnsi="Times New Roman" w:cs="Times New Roman"/>
                <w:sz w:val="24"/>
                <w:szCs w:val="24"/>
              </w:rPr>
            </w:pPr>
          </w:p>
        </w:tc>
        <w:tc>
          <w:tcPr>
            <w:tcW w:w="5953" w:type="dxa"/>
          </w:tcPr>
          <w:p w:rsidR="00870CBB" w:rsidRPr="00AF7630" w:rsidRDefault="00870CBB"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Đề xuất điều chỉnh cụm từ “biện pháp” thành “phương án” nhằm điều chỉnh trách nhiệm của HĐXLRR theo hướng tạo cơ chế, hỗ trợ TCTD chủ động, linh hoạt trong việc phân cấp thẩm quyền phê duyệt phương án, biện pháp xử lý nợ đã được sử dụng dự phòng để xử lý rủi ro, phù hợp với đặc điểm của từng TCTD (ví dụ giới hạn các trường hợp cần được HĐXLRR phê duyệt các biện pháp thu hồi nợ).</w:t>
            </w:r>
          </w:p>
        </w:tc>
        <w:tc>
          <w:tcPr>
            <w:tcW w:w="2268" w:type="dxa"/>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VCB</w:t>
            </w:r>
          </w:p>
        </w:tc>
        <w:tc>
          <w:tcPr>
            <w:tcW w:w="4677" w:type="dxa"/>
            <w:vMerge w:val="restart"/>
          </w:tcPr>
          <w:p w:rsidR="00870CBB" w:rsidRPr="00AF7630" w:rsidRDefault="00870CBB" w:rsidP="0001557F">
            <w:pPr>
              <w:jc w:val="both"/>
              <w:rPr>
                <w:rFonts w:ascii="Times New Roman" w:eastAsia="Times New Roman" w:hAnsi="Times New Roman" w:cs="Times New Roman"/>
                <w:b/>
                <w:i/>
                <w:sz w:val="24"/>
                <w:szCs w:val="24"/>
              </w:rPr>
            </w:pPr>
            <w:r w:rsidRPr="00AF7630">
              <w:rPr>
                <w:rFonts w:ascii="Times New Roman" w:eastAsia="Times New Roman" w:hAnsi="Times New Roman" w:cs="Times New Roman"/>
                <w:sz w:val="24"/>
                <w:szCs w:val="24"/>
              </w:rPr>
              <w:t xml:space="preserve">Hội đồng xử lý rủi ro cần có trách nhiệm quyết định, phê duyệt đối với </w:t>
            </w:r>
            <w:r w:rsidRPr="00AF7630">
              <w:rPr>
                <w:rFonts w:ascii="Times New Roman" w:eastAsia="Times New Roman" w:hAnsi="Times New Roman" w:cs="Times New Roman"/>
                <w:sz w:val="24"/>
                <w:szCs w:val="24"/>
                <w:lang w:val="vi-VN"/>
              </w:rPr>
              <w:t>các biện pháp thu hồi nợ đã được sử dụng dự phòng</w:t>
            </w:r>
            <w:r w:rsidRPr="00AF7630">
              <w:rPr>
                <w:rFonts w:ascii="Times New Roman" w:eastAsia="Times New Roman" w:hAnsi="Times New Roman" w:cs="Times New Roman"/>
                <w:sz w:val="24"/>
                <w:szCs w:val="24"/>
              </w:rPr>
              <w:t xml:space="preserve"> để xử lý rủi ro</w:t>
            </w:r>
            <w:r w:rsidRPr="00AF7630">
              <w:rPr>
                <w:rFonts w:ascii="Times New Roman" w:eastAsia="Times New Roman" w:hAnsi="Times New Roman" w:cs="Times New Roman"/>
                <w:sz w:val="24"/>
                <w:szCs w:val="24"/>
                <w:lang w:val="vi-VN"/>
              </w:rPr>
              <w:t xml:space="preserve"> trong toàn hệ thống</w:t>
            </w:r>
            <w:r w:rsidRPr="00AF7630">
              <w:rPr>
                <w:rFonts w:ascii="Times New Roman" w:eastAsia="Times New Roman" w:hAnsi="Times New Roman" w:cs="Times New Roman"/>
                <w:sz w:val="24"/>
                <w:szCs w:val="24"/>
              </w:rPr>
              <w:t xml:space="preserve"> theo quy định của pháp luật.</w:t>
            </w:r>
          </w:p>
          <w:p w:rsidR="00870CBB" w:rsidRPr="00AF7630" w:rsidDel="004545A0" w:rsidRDefault="00870CBB" w:rsidP="0001557F">
            <w:pPr>
              <w:jc w:val="both"/>
              <w:rPr>
                <w:rFonts w:ascii="Times New Roman" w:eastAsia="Times New Roman" w:hAnsi="Times New Roman" w:cs="Times New Roman"/>
                <w:sz w:val="24"/>
                <w:szCs w:val="24"/>
              </w:rPr>
            </w:pPr>
          </w:p>
          <w:p w:rsidR="00870CBB" w:rsidRPr="00AF7630" w:rsidRDefault="00870CBB" w:rsidP="0001557F">
            <w:pPr>
              <w:jc w:val="both"/>
              <w:rPr>
                <w:rFonts w:ascii="Times New Roman" w:eastAsia="Times New Roman" w:hAnsi="Times New Roman" w:cs="Times New Roman"/>
                <w:sz w:val="24"/>
                <w:szCs w:val="24"/>
              </w:rPr>
            </w:pPr>
          </w:p>
        </w:tc>
      </w:tr>
      <w:tr w:rsidR="00870CBB" w:rsidRPr="00AF7630" w:rsidTr="0069372A">
        <w:tc>
          <w:tcPr>
            <w:tcW w:w="2978" w:type="dxa"/>
            <w:vMerge/>
          </w:tcPr>
          <w:p w:rsidR="00870CBB" w:rsidRPr="00AF7630" w:rsidRDefault="00870CBB" w:rsidP="0001557F">
            <w:pPr>
              <w:jc w:val="both"/>
              <w:rPr>
                <w:rFonts w:ascii="Times New Roman" w:eastAsia="Times New Roman" w:hAnsi="Times New Roman" w:cs="Times New Roman"/>
                <w:sz w:val="24"/>
                <w:szCs w:val="24"/>
              </w:rPr>
            </w:pPr>
          </w:p>
        </w:tc>
        <w:tc>
          <w:tcPr>
            <w:tcW w:w="5953" w:type="dxa"/>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hAnsi="Times New Roman" w:cs="Times New Roman"/>
                <w:b/>
                <w:spacing w:val="-6"/>
                <w:sz w:val="24"/>
                <w:szCs w:val="24"/>
              </w:rPr>
              <w:t>Đề xuất</w:t>
            </w:r>
            <w:r w:rsidRPr="00AF7630">
              <w:rPr>
                <w:rFonts w:ascii="Times New Roman" w:hAnsi="Times New Roman" w:cs="Times New Roman"/>
                <w:bCs/>
                <w:spacing w:val="-6"/>
                <w:sz w:val="24"/>
                <w:szCs w:val="24"/>
              </w:rPr>
              <w:t xml:space="preserve"> quy định rõ trách nhiệm của Hội đồng xử lý rủi ro </w:t>
            </w:r>
            <w:r w:rsidRPr="00AF7630">
              <w:rPr>
                <w:rFonts w:ascii="Times New Roman" w:hAnsi="Times New Roman" w:cs="Times New Roman"/>
                <w:bCs/>
                <w:i/>
                <w:spacing w:val="-6"/>
                <w:sz w:val="24"/>
                <w:szCs w:val="24"/>
              </w:rPr>
              <w:t>“phê duyệt các biện pháp thu hồi nợ đã được sử dụng dự phòng để xử lý rủi ro”</w:t>
            </w:r>
            <w:r w:rsidRPr="00AF7630">
              <w:rPr>
                <w:rFonts w:ascii="Times New Roman" w:hAnsi="Times New Roman" w:cs="Times New Roman"/>
                <w:bCs/>
                <w:spacing w:val="-6"/>
                <w:sz w:val="24"/>
                <w:szCs w:val="24"/>
              </w:rPr>
              <w:t xml:space="preserve"> chi tiết (số tiền cụ thể của từng biện pháp thu hồi nợ, thời gian thực hiện…) hay chỉ phê duyệt phương án chung (các biện pháp thu hồi nợ theo quy định nội bộ- xử lý tài sản, miễn giảm lãi, tố tụng, bán nợ…), vì thực tế số tiền chi tiết/thời gian thực hiện của từng biện pháp thu hồi nợ phụ thuộc nhiều vào phương án xử lý/thực tế triển khai cụ thể từng phương án trên cơ sở phê duyệt chung của HĐ XLRR.</w:t>
            </w:r>
          </w:p>
        </w:tc>
        <w:tc>
          <w:tcPr>
            <w:tcW w:w="2268" w:type="dxa"/>
          </w:tcPr>
          <w:p w:rsidR="00870CBB" w:rsidRPr="00AF7630" w:rsidRDefault="00870CBB" w:rsidP="0001557F">
            <w:pPr>
              <w:jc w:val="both"/>
              <w:rPr>
                <w:rFonts w:ascii="Times New Roman" w:eastAsia="Times New Roman" w:hAnsi="Times New Roman" w:cs="Times New Roman"/>
                <w:sz w:val="24"/>
                <w:szCs w:val="24"/>
              </w:rPr>
            </w:pPr>
            <w:r w:rsidRPr="00AF7630">
              <w:rPr>
                <w:rFonts w:ascii="Times New Roman" w:hAnsi="Times New Roman" w:cs="Times New Roman"/>
                <w:bCs/>
                <w:spacing w:val="-6"/>
                <w:sz w:val="24"/>
                <w:szCs w:val="24"/>
              </w:rPr>
              <w:t>Quân đội</w:t>
            </w:r>
          </w:p>
        </w:tc>
        <w:tc>
          <w:tcPr>
            <w:tcW w:w="4677" w:type="dxa"/>
            <w:vMerge/>
          </w:tcPr>
          <w:p w:rsidR="00870CBB" w:rsidRPr="00AF7630" w:rsidRDefault="00870CBB" w:rsidP="0001557F">
            <w:pPr>
              <w:jc w:val="both"/>
              <w:rPr>
                <w:rFonts w:ascii="Times New Roman" w:eastAsia="Times New Roman" w:hAnsi="Times New Roman" w:cs="Times New Roman"/>
                <w:sz w:val="24"/>
                <w:szCs w:val="24"/>
              </w:rPr>
            </w:pPr>
          </w:p>
        </w:tc>
      </w:tr>
      <w:tr w:rsidR="00B54885" w:rsidRPr="00AF7630" w:rsidTr="0069372A">
        <w:tc>
          <w:tcPr>
            <w:tcW w:w="2978" w:type="dxa"/>
            <w:vMerge/>
          </w:tcPr>
          <w:p w:rsidR="00B54885" w:rsidRPr="00AF7630" w:rsidRDefault="00B54885" w:rsidP="0001557F">
            <w:pPr>
              <w:jc w:val="both"/>
              <w:rPr>
                <w:rFonts w:ascii="Times New Roman" w:eastAsia="Times New Roman" w:hAnsi="Times New Roman" w:cs="Times New Roman"/>
                <w:sz w:val="24"/>
                <w:szCs w:val="24"/>
              </w:rPr>
            </w:pPr>
          </w:p>
        </w:tc>
        <w:tc>
          <w:tcPr>
            <w:tcW w:w="5953" w:type="dxa"/>
          </w:tcPr>
          <w:p w:rsidR="00B54885" w:rsidRPr="00AF7630" w:rsidRDefault="00B5488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Kiến nghị Ban soạn thảo làm rõ hơn các </w:t>
            </w:r>
            <w:r w:rsidRPr="00AF7630">
              <w:rPr>
                <w:rFonts w:ascii="Times New Roman" w:eastAsia="Times New Roman" w:hAnsi="Times New Roman" w:cs="Times New Roman"/>
                <w:bCs/>
                <w:i/>
                <w:iCs/>
                <w:sz w:val="24"/>
                <w:szCs w:val="24"/>
              </w:rPr>
              <w:t>“khoản nợ sử dụng dự phòng để xử lý rủi ro”</w:t>
            </w:r>
            <w:r w:rsidRPr="00AF7630">
              <w:rPr>
                <w:rFonts w:ascii="Times New Roman" w:eastAsia="Times New Roman" w:hAnsi="Times New Roman" w:cs="Times New Roman"/>
                <w:bCs/>
                <w:sz w:val="24"/>
                <w:szCs w:val="24"/>
              </w:rPr>
              <w:t> tại đây được hiểu chỉ gồm các khoản nợ đã </w:t>
            </w:r>
            <w:r w:rsidRPr="00AF7630">
              <w:rPr>
                <w:rFonts w:ascii="Times New Roman" w:eastAsia="Times New Roman" w:hAnsi="Times New Roman" w:cs="Times New Roman"/>
                <w:b/>
                <w:bCs/>
                <w:sz w:val="24"/>
                <w:szCs w:val="24"/>
              </w:rPr>
              <w:t>sử dụng toàn bộ</w:t>
            </w:r>
            <w:r w:rsidRPr="00AF7630">
              <w:rPr>
                <w:rFonts w:ascii="Times New Roman" w:eastAsia="Times New Roman" w:hAnsi="Times New Roman" w:cs="Times New Roman"/>
                <w:bCs/>
                <w:sz w:val="24"/>
                <w:szCs w:val="24"/>
              </w:rPr>
              <w:t> dự phòng để xử lý rủi ro hay bao gồm cả các khoản nợ đã </w:t>
            </w:r>
            <w:r w:rsidRPr="00AF7630">
              <w:rPr>
                <w:rFonts w:ascii="Times New Roman" w:eastAsia="Times New Roman" w:hAnsi="Times New Roman" w:cs="Times New Roman"/>
                <w:b/>
                <w:bCs/>
                <w:sz w:val="24"/>
                <w:szCs w:val="24"/>
              </w:rPr>
              <w:t>sử dụng một phần</w:t>
            </w:r>
            <w:r w:rsidRPr="00AF7630">
              <w:rPr>
                <w:rFonts w:ascii="Times New Roman" w:eastAsia="Times New Roman" w:hAnsi="Times New Roman" w:cs="Times New Roman"/>
                <w:bCs/>
                <w:sz w:val="24"/>
                <w:szCs w:val="24"/>
              </w:rPr>
              <w:t xml:space="preserve"> dự </w:t>
            </w:r>
            <w:r w:rsidRPr="00AF7630">
              <w:rPr>
                <w:rFonts w:ascii="Times New Roman" w:eastAsia="Times New Roman" w:hAnsi="Times New Roman" w:cs="Times New Roman"/>
                <w:bCs/>
                <w:sz w:val="24"/>
                <w:szCs w:val="24"/>
              </w:rPr>
              <w:lastRenderedPageBreak/>
              <w:t>phòng để xử lý rủi ro?</w:t>
            </w:r>
          </w:p>
        </w:tc>
        <w:tc>
          <w:tcPr>
            <w:tcW w:w="2268" w:type="dxa"/>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PGBank</w:t>
            </w:r>
          </w:p>
        </w:tc>
        <w:tc>
          <w:tcPr>
            <w:tcW w:w="4677" w:type="dxa"/>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Khoản nợ đã được sử dụng dự phòng để xử lý rủi ro (toàn bộ hay một phần) thì phải được Hội đồng xử lý rủi ro phê duyệt.</w:t>
            </w:r>
          </w:p>
          <w:p w:rsidR="00B54885" w:rsidRPr="00AF7630" w:rsidRDefault="00B54885" w:rsidP="0001557F">
            <w:pPr>
              <w:jc w:val="both"/>
              <w:rPr>
                <w:rFonts w:ascii="Times New Roman" w:eastAsia="Times New Roman" w:hAnsi="Times New Roman" w:cs="Times New Roman"/>
                <w:sz w:val="24"/>
                <w:szCs w:val="24"/>
              </w:rPr>
            </w:pPr>
          </w:p>
        </w:tc>
      </w:tr>
      <w:tr w:rsidR="00B54885" w:rsidRPr="00AF7630" w:rsidTr="0069372A">
        <w:tc>
          <w:tcPr>
            <w:tcW w:w="2978" w:type="dxa"/>
            <w:vMerge/>
          </w:tcPr>
          <w:p w:rsidR="00B54885" w:rsidRPr="00AF7630" w:rsidRDefault="00B54885" w:rsidP="0001557F">
            <w:pPr>
              <w:jc w:val="both"/>
              <w:rPr>
                <w:rFonts w:ascii="Times New Roman" w:eastAsia="Times New Roman" w:hAnsi="Times New Roman" w:cs="Times New Roman"/>
                <w:sz w:val="24"/>
                <w:szCs w:val="24"/>
              </w:rPr>
            </w:pPr>
          </w:p>
        </w:tc>
        <w:tc>
          <w:tcPr>
            <w:tcW w:w="5953" w:type="dxa"/>
          </w:tcPr>
          <w:p w:rsidR="00B54885" w:rsidRPr="00AF7630" w:rsidRDefault="00B54885" w:rsidP="0001557F">
            <w:pPr>
              <w:jc w:val="both"/>
              <w:rPr>
                <w:rFonts w:ascii="Times New Roman" w:hAnsi="Times New Roman" w:cs="Times New Roman"/>
                <w:sz w:val="24"/>
                <w:szCs w:val="24"/>
              </w:rPr>
            </w:pPr>
            <w:r w:rsidRPr="00AF7630">
              <w:rPr>
                <w:rFonts w:ascii="Times New Roman" w:hAnsi="Times New Roman" w:cs="Times New Roman"/>
                <w:sz w:val="24"/>
                <w:szCs w:val="24"/>
              </w:rPr>
              <w:t>Điểm c khoản này có quy định trách nhiệm của Hội đồng xử lý rủi ro trong việc quyết định hoặc phê duyệt các biện pháp thu hồi nợ đã được sử dụng dự phòng để xử lý rủi ro trong toàn hệ thống, bao gồm cả việc xử lý tài sản bảo đảm. Tuy nhiên, do trong các biện pháp thu hồi nợ có các biện pháp như mua bán nợ, nhận tài sản bảo đảm để thay thế việc thực hiện nghĩa vụ, miễn giảm lãi….. đã có quy định trách nhiệm cho các Hội đồng riêng của các tổ chức tín dụng quyết định hoặc phê duyệt (như Hội đồng mua bán tài sản, Hội đồng mua bán nợ, Hội đồng miễn giảm lãi….), phù hợp với các quy định của NHNN về các hoạt động này. Trường hợp khởi kiện cũng là một biện pháp thu hồi nợ, được thực hiện theo quy định pháp luật về dân sự nên về mức độ chỉ cần Chủ tịch Hội đồng quản trị/Tổng Giám đốc thông qua, không cần phải thông qua Hội đồng xử lý rủi ro. Ngoài ra, một số biện pháp thu hồi nợ đối với một số khoản nợ có giá trị lớn và/hoặc để không xung đột lợi ích (như đối với trường hợp người có liên quan….) thì thuộc thẩm quyền của Hội đồng quản trị hoặc Đại hội đồng cổ đông của tổ chức tín dụng theo quy định tại Luật Các tổ chức tín dụng và/hoặc Điều lệ, quy chế tổ chức hoạt động của tổ chức tín dụng. Vì vậy, nếu quy định tất cả các trường hợp phê duyệt biện pháp xử lý nợ đã sử dụng dự phòng đều giao cho Hội đồng xử lý rủi ro phê duyệt cũng sẽ chưa phù hợp. Để tránh chồng chéo, đề xuất Đơn vị soạn thảo xem xét lại nội dung tại Khoản này.</w:t>
            </w:r>
          </w:p>
        </w:tc>
        <w:tc>
          <w:tcPr>
            <w:tcW w:w="2268" w:type="dxa"/>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hAnsi="Times New Roman" w:cs="Times New Roman"/>
                <w:sz w:val="24"/>
                <w:szCs w:val="24"/>
              </w:rPr>
              <w:t>SAIGONBANK</w:t>
            </w:r>
          </w:p>
        </w:tc>
        <w:tc>
          <w:tcPr>
            <w:tcW w:w="4677" w:type="dxa"/>
            <w:vMerge w:val="restart"/>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trách nhiệm chung của Hội đồng xử lý rủi ro trong việc quyết định hoặc phê duyệt các biện pháp thu hồi nợ đã được sử dụng dự phòng để xử lý rủi ro trong toàn hệ thống, bao gồm cả việc xử lý tài sản bảo đảm.</w:t>
            </w:r>
          </w:p>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Theo đó, các TCTD, chi nhánh NHNg căn cứ quy định tại Dự thảo Nghị định để thực hiện.</w:t>
            </w:r>
          </w:p>
        </w:tc>
      </w:tr>
      <w:tr w:rsidR="00B54885" w:rsidRPr="00AF7630" w:rsidTr="0069372A">
        <w:tc>
          <w:tcPr>
            <w:tcW w:w="2978" w:type="dxa"/>
            <w:vMerge/>
          </w:tcPr>
          <w:p w:rsidR="00B54885" w:rsidRPr="00AF7630" w:rsidRDefault="00B54885" w:rsidP="0001557F">
            <w:pPr>
              <w:jc w:val="both"/>
              <w:rPr>
                <w:rFonts w:ascii="Times New Roman" w:eastAsia="Times New Roman" w:hAnsi="Times New Roman" w:cs="Times New Roman"/>
                <w:sz w:val="24"/>
                <w:szCs w:val="24"/>
              </w:rPr>
            </w:pPr>
          </w:p>
        </w:tc>
        <w:tc>
          <w:tcPr>
            <w:tcW w:w="5953" w:type="dxa"/>
          </w:tcPr>
          <w:p w:rsidR="00B54885" w:rsidRPr="00AF7630" w:rsidRDefault="00B5488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Tại điểm c khoản 2 Điều 14:</w:t>
            </w:r>
          </w:p>
          <w:p w:rsidR="00B54885" w:rsidRPr="00AF7630" w:rsidRDefault="00B5488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Việc xử lý TSBĐ cần quyết định nhanh để hạn chế tổn thất cho TCTD. Tuy nhiên, khi ấn định trách nhiệm cho Hội đồng xử lý rủi ro thì Hội đồng phải tiến hành các thủ tục họp hoặc lấy ý kiến bằng văn bản để ra quyết định. Vì vậy, ảnh hưởng lớn đến công tác thu hồi nợ, xử lý tài sản bảo đảm của các TCTD.</w:t>
            </w:r>
          </w:p>
          <w:p w:rsidR="00B54885" w:rsidRPr="00AF7630" w:rsidRDefault="00B5488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 xml:space="preserve">Do đó: Kiến nghị Ban soạn thảo hoặc không ấn định thẩm quyền cho Hội đồng xử lý rủi ro hoặc cho phép Hội đồng xử lý rủi ro phân cấp lại thẩm quyền cho các cấp khác. Có </w:t>
            </w:r>
            <w:r w:rsidRPr="00AF7630">
              <w:rPr>
                <w:rFonts w:ascii="Times New Roman" w:eastAsia="Times New Roman" w:hAnsi="Times New Roman" w:cs="Times New Roman"/>
                <w:bCs/>
                <w:sz w:val="24"/>
                <w:szCs w:val="24"/>
              </w:rPr>
              <w:lastRenderedPageBreak/>
              <w:t>thể phân cấp theo giá trị khoản nợ/giá trị tài sản bảo đảm dự kiến xử lý.</w:t>
            </w:r>
          </w:p>
        </w:tc>
        <w:tc>
          <w:tcPr>
            <w:tcW w:w="2268" w:type="dxa"/>
          </w:tcPr>
          <w:p w:rsidR="00B54885" w:rsidRPr="00AF7630" w:rsidRDefault="00B54885" w:rsidP="0001557F">
            <w:pPr>
              <w:jc w:val="both"/>
              <w:rPr>
                <w:rFonts w:ascii="Times New Roman" w:hAnsi="Times New Roman" w:cs="Times New Roman"/>
                <w:bCs/>
                <w:spacing w:val="-6"/>
                <w:sz w:val="24"/>
                <w:szCs w:val="24"/>
              </w:rPr>
            </w:pPr>
            <w:r w:rsidRPr="00AF7630">
              <w:rPr>
                <w:rFonts w:ascii="Times New Roman" w:eastAsia="Times New Roman" w:hAnsi="Times New Roman" w:cs="Times New Roman"/>
                <w:sz w:val="24"/>
                <w:szCs w:val="24"/>
              </w:rPr>
              <w:lastRenderedPageBreak/>
              <w:t>PGBank</w:t>
            </w:r>
          </w:p>
        </w:tc>
        <w:tc>
          <w:tcPr>
            <w:tcW w:w="4677" w:type="dxa"/>
            <w:vMerge/>
          </w:tcPr>
          <w:p w:rsidR="00B54885" w:rsidRPr="00AF7630" w:rsidRDefault="00B54885" w:rsidP="0001557F">
            <w:pPr>
              <w:jc w:val="both"/>
              <w:rPr>
                <w:rFonts w:ascii="Times New Roman" w:eastAsia="Times New Roman" w:hAnsi="Times New Roman" w:cs="Times New Roman"/>
                <w:sz w:val="24"/>
                <w:szCs w:val="24"/>
              </w:rPr>
            </w:pPr>
          </w:p>
        </w:tc>
      </w:tr>
      <w:tr w:rsidR="00B54885" w:rsidRPr="00AF7630" w:rsidTr="00844781">
        <w:trPr>
          <w:trHeight w:val="416"/>
        </w:trPr>
        <w:tc>
          <w:tcPr>
            <w:tcW w:w="2978" w:type="dxa"/>
            <w:vMerge/>
            <w:tcBorders>
              <w:bottom w:val="single" w:sz="4" w:space="0" w:color="auto"/>
            </w:tcBorders>
          </w:tcPr>
          <w:p w:rsidR="00B54885" w:rsidRPr="00AF7630" w:rsidRDefault="00B54885" w:rsidP="0001557F">
            <w:pPr>
              <w:jc w:val="both"/>
              <w:rPr>
                <w:rFonts w:ascii="Times New Roman" w:eastAsia="Times New Roman" w:hAnsi="Times New Roman" w:cs="Times New Roman"/>
                <w:sz w:val="24"/>
                <w:szCs w:val="24"/>
              </w:rPr>
            </w:pPr>
          </w:p>
        </w:tc>
        <w:tc>
          <w:tcPr>
            <w:tcW w:w="5953" w:type="dxa"/>
            <w:tcBorders>
              <w:bottom w:val="single" w:sz="4" w:space="0" w:color="auto"/>
            </w:tcBorders>
          </w:tcPr>
          <w:p w:rsidR="00B54885" w:rsidRPr="00AF7630" w:rsidRDefault="00B5488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Đề xuất bỏ điểm a, c khoản 2 Điều 14 vì theo chúng tôi, các chức năng này không thuộc Hội đồng xử lý rủi ro.</w:t>
            </w:r>
          </w:p>
          <w:p w:rsidR="00B54885" w:rsidRPr="00AF7630" w:rsidRDefault="00B54885" w:rsidP="0001557F">
            <w:pPr>
              <w:jc w:val="both"/>
              <w:rPr>
                <w:rFonts w:ascii="Times New Roman" w:eastAsia="Times New Roman" w:hAnsi="Times New Roman" w:cs="Times New Roman"/>
                <w:bCs/>
                <w:sz w:val="24"/>
                <w:szCs w:val="24"/>
              </w:rPr>
            </w:pPr>
            <w:r w:rsidRPr="00AF7630">
              <w:rPr>
                <w:rFonts w:ascii="Times New Roman" w:eastAsia="Times New Roman" w:hAnsi="Times New Roman" w:cs="Times New Roman"/>
                <w:bCs/>
                <w:sz w:val="24"/>
                <w:szCs w:val="24"/>
              </w:rPr>
              <w:t>Chức năng quyết định hoặc phê duyệt các biện pháp thu hồi nợ thuộc các bộ phận nghiệp vụ của TCTD, do đó đề xuất cho phép TCTD áp dụng quy định nội bộ để quyết định hoặc phê duyệt các biện pháp thu hồi nợ.</w:t>
            </w:r>
          </w:p>
        </w:tc>
        <w:tc>
          <w:tcPr>
            <w:tcW w:w="2268" w:type="dxa"/>
            <w:tcBorders>
              <w:bottom w:val="single" w:sz="4" w:space="0" w:color="auto"/>
            </w:tcBorders>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VietCredit</w:t>
            </w:r>
          </w:p>
        </w:tc>
        <w:tc>
          <w:tcPr>
            <w:tcW w:w="4677" w:type="dxa"/>
            <w:tcBorders>
              <w:bottom w:val="single" w:sz="4" w:space="0" w:color="auto"/>
            </w:tcBorders>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trách nhiệm của Hội đồng xử lý rủi ro theo hướng coi Hội đồng xử lý rủi ro là một bộ phận độc lập đối với các hoạt động của TCTD, chi nhánh NHNg và cần phải có trách nhiệm quyết định, phê duyệt đối với các nội dung liên quan đến khoản nợ sử dụng dự phòng để xử lý rủi ro.</w:t>
            </w:r>
          </w:p>
        </w:tc>
      </w:tr>
      <w:tr w:rsidR="00B54885" w:rsidRPr="00AF7630" w:rsidTr="0069372A">
        <w:tc>
          <w:tcPr>
            <w:tcW w:w="2978" w:type="dxa"/>
          </w:tcPr>
          <w:p w:rsidR="00B54885" w:rsidRPr="00AF7630" w:rsidRDefault="00B54885" w:rsidP="0001557F">
            <w:pPr>
              <w:jc w:val="both"/>
              <w:rPr>
                <w:rFonts w:ascii="Times New Roman" w:hAnsi="Times New Roman" w:cs="Times New Roman"/>
                <w:sz w:val="24"/>
                <w:szCs w:val="24"/>
              </w:rPr>
            </w:pPr>
            <w:r w:rsidRPr="00AF7630">
              <w:rPr>
                <w:rFonts w:ascii="Times New Roman" w:hAnsi="Times New Roman" w:cs="Times New Roman"/>
                <w:sz w:val="24"/>
                <w:szCs w:val="24"/>
              </w:rPr>
              <w:t>Điều 15 DTNĐ:</w:t>
            </w:r>
          </w:p>
          <w:p w:rsidR="00B54885" w:rsidRPr="00AF7630" w:rsidRDefault="00B54885" w:rsidP="0001557F">
            <w:pPr>
              <w:jc w:val="both"/>
              <w:rPr>
                <w:rFonts w:ascii="Times New Roman" w:hAnsi="Times New Roman" w:cs="Times New Roman"/>
                <w:i/>
                <w:sz w:val="24"/>
                <w:szCs w:val="24"/>
              </w:rPr>
            </w:pPr>
            <w:r w:rsidRPr="00AF7630">
              <w:rPr>
                <w:rFonts w:ascii="Times New Roman" w:hAnsi="Times New Roman" w:cs="Times New Roman"/>
                <w:i/>
                <w:sz w:val="24"/>
                <w:szCs w:val="24"/>
              </w:rPr>
              <w:t>“Điều 15. Hạch toán</w:t>
            </w:r>
          </w:p>
          <w:p w:rsidR="00B54885" w:rsidRPr="00AF7630" w:rsidRDefault="00B54885" w:rsidP="0001557F">
            <w:pPr>
              <w:jc w:val="both"/>
              <w:rPr>
                <w:rFonts w:ascii="Times New Roman" w:hAnsi="Times New Roman" w:cs="Times New Roman"/>
                <w:sz w:val="24"/>
                <w:szCs w:val="24"/>
              </w:rPr>
            </w:pPr>
            <w:r w:rsidRPr="00AF7630">
              <w:rPr>
                <w:rFonts w:ascii="Times New Roman" w:hAnsi="Times New Roman" w:cs="Times New Roman"/>
                <w:i/>
                <w:sz w:val="24"/>
                <w:szCs w:val="24"/>
              </w:rPr>
              <w:t>Tổ chức tín dụng, chi nhánh ngân hàng nước ngoài thực hiện hạch toán số tiền trích lập, sử dụng, bổ sung, hoàn nhập dự phòng cụ thể và dự phòng chung theo các quy định của pháp luật về chế độ hạch toán kế toán của tổ chức tín dụng, chi nhánh ngân hàng nước ngoài.”</w:t>
            </w:r>
          </w:p>
        </w:tc>
        <w:tc>
          <w:tcPr>
            <w:tcW w:w="5953" w:type="dxa"/>
          </w:tcPr>
          <w:p w:rsidR="00B54885" w:rsidRPr="00AF7630" w:rsidRDefault="00B54885" w:rsidP="0001557F">
            <w:pPr>
              <w:jc w:val="both"/>
              <w:rPr>
                <w:rFonts w:ascii="Times New Roman" w:hAnsi="Times New Roman" w:cs="Times New Roman"/>
                <w:sz w:val="24"/>
                <w:szCs w:val="24"/>
              </w:rPr>
            </w:pPr>
            <w:r w:rsidRPr="00AF7630">
              <w:rPr>
                <w:rFonts w:ascii="Times New Roman" w:hAnsi="Times New Roman" w:cs="Times New Roman"/>
                <w:sz w:val="24"/>
                <w:szCs w:val="24"/>
              </w:rPr>
              <w:t>Đề nghị bổ sung nội dung hướng dẫn hạch toán cụ thể</w:t>
            </w:r>
          </w:p>
          <w:p w:rsidR="00B54885" w:rsidRPr="00AF7630" w:rsidRDefault="00B54885" w:rsidP="0001557F">
            <w:pPr>
              <w:jc w:val="both"/>
              <w:rPr>
                <w:rFonts w:ascii="Times New Roman" w:hAnsi="Times New Roman" w:cs="Times New Roman"/>
                <w:sz w:val="24"/>
                <w:szCs w:val="24"/>
              </w:rPr>
            </w:pPr>
          </w:p>
          <w:p w:rsidR="00B54885" w:rsidRPr="00AF7630" w:rsidRDefault="00B54885" w:rsidP="0001557F">
            <w:pPr>
              <w:jc w:val="both"/>
              <w:rPr>
                <w:rFonts w:ascii="Times New Roman" w:hAnsi="Times New Roman" w:cs="Times New Roman"/>
                <w:sz w:val="24"/>
                <w:szCs w:val="24"/>
              </w:rPr>
            </w:pPr>
          </w:p>
          <w:p w:rsidR="00B54885" w:rsidRPr="00AF7630" w:rsidRDefault="00B54885" w:rsidP="0001557F">
            <w:pPr>
              <w:jc w:val="both"/>
              <w:rPr>
                <w:rFonts w:ascii="Times New Roman" w:hAnsi="Times New Roman" w:cs="Times New Roman"/>
                <w:sz w:val="24"/>
                <w:szCs w:val="24"/>
              </w:rPr>
            </w:pPr>
          </w:p>
          <w:p w:rsidR="00B54885" w:rsidRPr="00AF7630" w:rsidRDefault="00B54885" w:rsidP="0001557F">
            <w:pPr>
              <w:tabs>
                <w:tab w:val="left" w:pos="1535"/>
              </w:tabs>
              <w:jc w:val="both"/>
              <w:rPr>
                <w:rFonts w:ascii="Times New Roman" w:hAnsi="Times New Roman" w:cs="Times New Roman"/>
                <w:sz w:val="24"/>
                <w:szCs w:val="24"/>
              </w:rPr>
            </w:pPr>
          </w:p>
        </w:tc>
        <w:tc>
          <w:tcPr>
            <w:tcW w:w="2268" w:type="dxa"/>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DongABank</w:t>
            </w:r>
          </w:p>
          <w:p w:rsidR="00B54885" w:rsidRPr="00AF7630" w:rsidRDefault="00B54885" w:rsidP="0001557F">
            <w:pPr>
              <w:jc w:val="both"/>
              <w:rPr>
                <w:rFonts w:ascii="Times New Roman" w:eastAsia="Times New Roman" w:hAnsi="Times New Roman" w:cs="Times New Roman"/>
                <w:sz w:val="24"/>
                <w:szCs w:val="24"/>
              </w:rPr>
            </w:pPr>
          </w:p>
        </w:tc>
        <w:tc>
          <w:tcPr>
            <w:tcW w:w="4677" w:type="dxa"/>
          </w:tcPr>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Quy định về hạch toán tại Dự thảo Nghị định được xây dựng trên cơ sở kế thừa quy định tại Điều 21 Thông tư 11.</w:t>
            </w:r>
          </w:p>
          <w:p w:rsidR="00B54885" w:rsidRPr="00AF7630" w:rsidRDefault="00B54885"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quy định về trích lập dự phòng rủi ro, không quy định về việc hạch toán kế toán. Việc hạch toán đối với số tiền được trích lập để dự phòng rủi ro thực hiện theo quy định tại Luật Các TCTD 2024 (khoản 1 Điều 147) và quy định của pháp luật về kế toán.</w:t>
            </w:r>
          </w:p>
        </w:tc>
      </w:tr>
      <w:tr w:rsidR="00B73FD9" w:rsidRPr="00AF7630" w:rsidTr="0069372A">
        <w:tc>
          <w:tcPr>
            <w:tcW w:w="2978" w:type="dxa"/>
          </w:tcPr>
          <w:p w:rsidR="00B73FD9" w:rsidRPr="00AF7630" w:rsidRDefault="00B73FD9" w:rsidP="0001557F">
            <w:pPr>
              <w:jc w:val="both"/>
              <w:rPr>
                <w:rFonts w:ascii="Times New Roman" w:hAnsi="Times New Roman" w:cs="Times New Roman"/>
                <w:sz w:val="24"/>
                <w:szCs w:val="24"/>
              </w:rPr>
            </w:pPr>
            <w:r w:rsidRPr="00AF7630">
              <w:rPr>
                <w:rFonts w:ascii="Times New Roman" w:hAnsi="Times New Roman" w:cs="Times New Roman"/>
                <w:sz w:val="24"/>
                <w:szCs w:val="24"/>
              </w:rPr>
              <w:t>Khoản 1 Điều 16 DTNĐ:</w:t>
            </w:r>
          </w:p>
          <w:p w:rsidR="00B73FD9" w:rsidRPr="00AF7630" w:rsidRDefault="00B73FD9" w:rsidP="0001557F">
            <w:pPr>
              <w:jc w:val="both"/>
              <w:rPr>
                <w:rFonts w:ascii="Times New Roman" w:hAnsi="Times New Roman" w:cs="Times New Roman"/>
                <w:i/>
                <w:sz w:val="24"/>
                <w:szCs w:val="24"/>
              </w:rPr>
            </w:pPr>
            <w:r w:rsidRPr="00AF7630">
              <w:rPr>
                <w:rFonts w:ascii="Times New Roman" w:hAnsi="Times New Roman" w:cs="Times New Roman"/>
                <w:i/>
                <w:sz w:val="24"/>
                <w:szCs w:val="24"/>
              </w:rPr>
              <w:t>“Ngân hàng Nhà nước xem xét, chấp thuận thời gian phân bổ lãi phải thu phải thoái lớn hơn 05 năm nhưng không quá 10 năm đối với trường hợp tổ chức tín dụng đáp ứng các điều kiện sau đây:</w:t>
            </w:r>
          </w:p>
          <w:p w:rsidR="00B73FD9" w:rsidRPr="00AF7630" w:rsidRDefault="00B73FD9" w:rsidP="0001557F">
            <w:pPr>
              <w:jc w:val="both"/>
              <w:rPr>
                <w:rFonts w:ascii="Times New Roman" w:hAnsi="Times New Roman" w:cs="Times New Roman"/>
                <w:sz w:val="24"/>
                <w:szCs w:val="24"/>
              </w:rPr>
            </w:pPr>
            <w:r w:rsidRPr="00AF7630">
              <w:rPr>
                <w:rFonts w:ascii="Times New Roman" w:hAnsi="Times New Roman" w:cs="Times New Roman"/>
                <w:i/>
                <w:sz w:val="24"/>
                <w:szCs w:val="24"/>
              </w:rPr>
              <w:t xml:space="preserve">1. Tổ chức tín dụng được can thiệp sớm đã được Ngân hàng Nhà nước chấp thuận bằng văn bản áp dụng biện pháp hỗ trợ quy định tại điểm b khoản 2 Điều 159 Luật Các tổ chức tín dụng </w:t>
            </w:r>
            <w:r w:rsidRPr="00AF7630">
              <w:rPr>
                <w:rFonts w:ascii="Times New Roman" w:hAnsi="Times New Roman" w:cs="Times New Roman"/>
                <w:i/>
                <w:sz w:val="24"/>
                <w:szCs w:val="24"/>
              </w:rPr>
              <w:lastRenderedPageBreak/>
              <w:t>với thời gian phân bổ lãi phải thu phải thoái tối đa 05 năm kể từ ngày được Ngân hàng Nhà nước chấp thuận mà kết thúc thời hạn 05 năm tổ chức tín dụng chưa phân bổ hết lãi phải thu phải thoái theo văn bản chấp thuận của Ngân hàng Nhà nước do áp dụng nguyên tắc tổng mức phân bổ lãi phải thu phải thoái và số tiền phải trích lập dự phòng rủi ro bằng chênh lệnh thu chi từ kết quả kinh doanh hằng năm của tổ chức tín dụng.”</w:t>
            </w:r>
          </w:p>
        </w:tc>
        <w:tc>
          <w:tcPr>
            <w:tcW w:w="5953" w:type="dxa"/>
          </w:tcPr>
          <w:p w:rsidR="00B73FD9" w:rsidRPr="00AF7630" w:rsidRDefault="00B73FD9" w:rsidP="00843E15">
            <w:pPr>
              <w:jc w:val="both"/>
              <w:rPr>
                <w:rFonts w:ascii="Times New Roman" w:hAnsi="Times New Roman" w:cs="Times New Roman"/>
                <w:sz w:val="24"/>
                <w:szCs w:val="24"/>
              </w:rPr>
            </w:pPr>
            <w:r w:rsidRPr="00AF7630">
              <w:rPr>
                <w:rFonts w:ascii="Times New Roman" w:hAnsi="Times New Roman" w:cs="Times New Roman"/>
                <w:sz w:val="24"/>
                <w:szCs w:val="24"/>
              </w:rPr>
              <w:lastRenderedPageBreak/>
              <w:t>(i) Điều 16 quy định việc can thiệp sớm của Ngân hàng Nhà nước đối với một TCTD là có thời hạn, có thể sau khi một TCTD được áp dụng can thiệp sớm khoảng 02 năm thì TCTD đó đã đáp ứng các điều kiện để bỏ tình trạng can thiệp sớm. Việc phân bổ lãi phải thu phải thoái đến 05 năm hoặc một thời hạn lớn hơn là không cần thiết và phải được điều chỉnh về một thời hạn ngắn hơn phù hợp với năng lực tài chính của TCTD tại thời điểm kết thúc việc can thiệp sớm.</w:t>
            </w:r>
          </w:p>
          <w:p w:rsidR="00B73FD9" w:rsidRPr="00AF7630" w:rsidRDefault="00B73FD9" w:rsidP="0001557F">
            <w:pPr>
              <w:jc w:val="both"/>
              <w:rPr>
                <w:rFonts w:ascii="Times New Roman" w:hAnsi="Times New Roman" w:cs="Times New Roman"/>
                <w:sz w:val="24"/>
                <w:szCs w:val="24"/>
              </w:rPr>
            </w:pPr>
            <w:r w:rsidRPr="00AF7630">
              <w:rPr>
                <w:rFonts w:ascii="Times New Roman" w:hAnsi="Times New Roman" w:cs="Times New Roman"/>
                <w:sz w:val="24"/>
                <w:szCs w:val="24"/>
              </w:rPr>
              <w:t xml:space="preserve">(ii) Điều 16 dự thảo Nghị định quy định cụ thể trường hợp này theo hướng quy định điều kiện để được Ngân hàng Nhà nước xem xét, chấp thuận thời gian phân bổ lãi phải thu phải thoái lớn hơn 05 năm nhưng không quá 10 năm; trong khi đó, điểm b khoản 2 Điều 159 Luật Các tổ chức tín dụng năm 2024 quy định chỉ trong trường hợp cần thiết. Vì vậy, đề nghị xem xét, chỉnh lý quy định tại Điều 16 cho </w:t>
            </w:r>
            <w:r w:rsidRPr="00AF7630">
              <w:rPr>
                <w:rFonts w:ascii="Times New Roman" w:hAnsi="Times New Roman" w:cs="Times New Roman"/>
                <w:sz w:val="24"/>
                <w:szCs w:val="24"/>
              </w:rPr>
              <w:lastRenderedPageBreak/>
              <w:t>phù hợp với quy định của Luật Các tổ chức tín dụng năm 2024.</w:t>
            </w:r>
          </w:p>
        </w:tc>
        <w:tc>
          <w:tcPr>
            <w:tcW w:w="2268" w:type="dxa"/>
          </w:tcPr>
          <w:p w:rsidR="00B73FD9" w:rsidRPr="00AF7630" w:rsidRDefault="00B73FD9"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Bộ Công an</w:t>
            </w:r>
          </w:p>
        </w:tc>
        <w:tc>
          <w:tcPr>
            <w:tcW w:w="4677" w:type="dxa"/>
          </w:tcPr>
          <w:p w:rsidR="00B73FD9" w:rsidRPr="00AF7630" w:rsidRDefault="00B73FD9" w:rsidP="00843E15">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Ý kiến (i):</w:t>
            </w:r>
          </w:p>
          <w:p w:rsidR="00B73FD9" w:rsidRPr="00AF7630" w:rsidRDefault="00B73FD9" w:rsidP="00843E15">
            <w:pPr>
              <w:jc w:val="both"/>
              <w:rPr>
                <w:rFonts w:ascii="Times New Roman" w:eastAsia="Times New Roman" w:hAnsi="Times New Roman" w:cs="Times New Roman"/>
                <w:i/>
                <w:sz w:val="24"/>
                <w:szCs w:val="24"/>
              </w:rPr>
            </w:pPr>
            <w:r w:rsidRPr="00AF7630">
              <w:rPr>
                <w:rFonts w:ascii="Times New Roman" w:eastAsia="Times New Roman" w:hAnsi="Times New Roman" w:cs="Times New Roman"/>
                <w:sz w:val="24"/>
                <w:szCs w:val="24"/>
              </w:rPr>
              <w:t xml:space="preserve">Tiếp thu ý kiến của Bộ Công an, chỉnh sửa tại khoản 1 Điều 17 dự thảo Nghị định như sau: </w:t>
            </w:r>
            <w:r w:rsidRPr="00AF7630">
              <w:rPr>
                <w:rFonts w:ascii="Times New Roman" w:eastAsia="Times New Roman" w:hAnsi="Times New Roman" w:cs="Times New Roman"/>
                <w:i/>
                <w:sz w:val="24"/>
                <w:szCs w:val="24"/>
              </w:rPr>
              <w:t xml:space="preserve">“1. Ngân hàng Nhà nước xem xét, chấp thuận thời gian phân bổ lãi phải thu phải thoái lớn hơn 05 năm nhưng không quá 10 năm đối với </w:t>
            </w:r>
            <w:r w:rsidRPr="00AF7630">
              <w:rPr>
                <w:rFonts w:ascii="Times New Roman" w:eastAsia="Times New Roman" w:hAnsi="Times New Roman" w:cs="Times New Roman"/>
                <w:i/>
                <w:sz w:val="24"/>
                <w:szCs w:val="24"/>
                <w:u w:val="single"/>
              </w:rPr>
              <w:t>tổ chức tín dụng được can thiệp sớm trong thời gian thực hiện phương án khắc phục</w:t>
            </w:r>
            <w:r w:rsidRPr="00AF7630">
              <w:rPr>
                <w:rFonts w:ascii="Times New Roman" w:eastAsia="Times New Roman" w:hAnsi="Times New Roman" w:cs="Times New Roman"/>
                <w:i/>
                <w:sz w:val="24"/>
                <w:szCs w:val="24"/>
              </w:rPr>
              <w:t xml:space="preserve"> trên cơ sở…”</w:t>
            </w:r>
          </w:p>
          <w:p w:rsidR="00B73FD9" w:rsidRPr="00AF7630" w:rsidRDefault="00B73FD9" w:rsidP="00843E15">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xml:space="preserve">Theo đó, Điều 17 chỉ áp dụng đối với các </w:t>
            </w:r>
            <w:r w:rsidRPr="00AF7630">
              <w:rPr>
                <w:rFonts w:ascii="Times New Roman" w:eastAsia="Times New Roman" w:hAnsi="Times New Roman" w:cs="Times New Roman"/>
                <w:b/>
                <w:i/>
                <w:sz w:val="24"/>
                <w:szCs w:val="24"/>
              </w:rPr>
              <w:t>TCTD được can thiệp sớm trong thời gian thực hiện phương án khắc phục</w:t>
            </w:r>
            <w:r w:rsidRPr="00AF7630">
              <w:rPr>
                <w:rFonts w:ascii="Times New Roman" w:eastAsia="Times New Roman" w:hAnsi="Times New Roman" w:cs="Times New Roman"/>
                <w:sz w:val="24"/>
                <w:szCs w:val="24"/>
              </w:rPr>
              <w:t>. Như vậy, trường hợp TCTD chấm dứt can thiệp sớm thì TCTD không được áp dụng biện pháp quy định tại Điều 17 dự thảo Nghị định này.</w:t>
            </w:r>
          </w:p>
          <w:p w:rsidR="00B73FD9" w:rsidRPr="00AF7630" w:rsidRDefault="00B73FD9" w:rsidP="00843E15">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 Ý kiến (ii):</w:t>
            </w:r>
          </w:p>
          <w:p w:rsidR="00B73FD9" w:rsidRPr="00AF7630" w:rsidRDefault="00B73FD9" w:rsidP="00843E15">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lastRenderedPageBreak/>
              <w:t>Các trường hợp quy định tại dự thảo Nghị định là các trường hợp cần thiết được áp dụng quy định tại điểm b khoản 2 Điều 159 Luật các TCTD.</w:t>
            </w:r>
          </w:p>
          <w:p w:rsidR="00B73FD9" w:rsidRPr="00AF7630" w:rsidRDefault="00B73FD9" w:rsidP="0001557F">
            <w:pPr>
              <w:jc w:val="both"/>
              <w:rPr>
                <w:rFonts w:ascii="Times New Roman" w:eastAsia="Times New Roman" w:hAnsi="Times New Roman" w:cs="Times New Roman"/>
                <w:sz w:val="24"/>
                <w:szCs w:val="24"/>
              </w:rPr>
            </w:pPr>
          </w:p>
        </w:tc>
      </w:tr>
      <w:tr w:rsidR="00B73FD9" w:rsidRPr="00AF7630" w:rsidTr="0069372A">
        <w:tc>
          <w:tcPr>
            <w:tcW w:w="2978" w:type="dxa"/>
          </w:tcPr>
          <w:p w:rsidR="00B73FD9" w:rsidRPr="00AF7630" w:rsidRDefault="00B73FD9" w:rsidP="0001557F">
            <w:pPr>
              <w:jc w:val="both"/>
              <w:rPr>
                <w:rFonts w:ascii="Times New Roman" w:hAnsi="Times New Roman" w:cs="Times New Roman"/>
                <w:sz w:val="24"/>
                <w:szCs w:val="24"/>
              </w:rPr>
            </w:pPr>
            <w:r w:rsidRPr="00AF7630">
              <w:rPr>
                <w:rFonts w:ascii="Times New Roman" w:hAnsi="Times New Roman" w:cs="Times New Roman"/>
                <w:sz w:val="24"/>
                <w:szCs w:val="24"/>
              </w:rPr>
              <w:lastRenderedPageBreak/>
              <w:t>Điều 18 DTNĐ:</w:t>
            </w:r>
          </w:p>
          <w:p w:rsidR="00B73FD9" w:rsidRPr="00AF7630" w:rsidRDefault="00B73FD9" w:rsidP="0001557F">
            <w:pPr>
              <w:jc w:val="both"/>
              <w:rPr>
                <w:rFonts w:ascii="Times New Roman" w:hAnsi="Times New Roman" w:cs="Times New Roman"/>
                <w:b/>
                <w:i/>
                <w:sz w:val="24"/>
                <w:szCs w:val="24"/>
                <w:lang w:val="vi-VN"/>
              </w:rPr>
            </w:pPr>
            <w:r w:rsidRPr="00AF7630">
              <w:rPr>
                <w:rFonts w:ascii="Times New Roman" w:hAnsi="Times New Roman" w:cs="Times New Roman"/>
                <w:i/>
                <w:sz w:val="24"/>
                <w:szCs w:val="24"/>
              </w:rPr>
              <w:t>“</w:t>
            </w:r>
            <w:bookmarkStart w:id="14" w:name="dieu_26"/>
            <w:r w:rsidRPr="00AF7630">
              <w:rPr>
                <w:rFonts w:ascii="Times New Roman" w:hAnsi="Times New Roman" w:cs="Times New Roman"/>
                <w:b/>
                <w:i/>
                <w:sz w:val="24"/>
                <w:szCs w:val="24"/>
                <w:lang w:val="vi-VN"/>
              </w:rPr>
              <w:t xml:space="preserve">Điều </w:t>
            </w:r>
            <w:r w:rsidRPr="00AF7630">
              <w:rPr>
                <w:rFonts w:ascii="Times New Roman" w:hAnsi="Times New Roman" w:cs="Times New Roman"/>
                <w:b/>
                <w:i/>
                <w:sz w:val="24"/>
                <w:szCs w:val="24"/>
              </w:rPr>
              <w:t>18</w:t>
            </w:r>
            <w:r w:rsidRPr="00AF7630">
              <w:rPr>
                <w:rFonts w:ascii="Times New Roman" w:hAnsi="Times New Roman" w:cs="Times New Roman"/>
                <w:b/>
                <w:i/>
                <w:sz w:val="24"/>
                <w:szCs w:val="24"/>
                <w:lang w:val="vi-VN"/>
              </w:rPr>
              <w:t>. Điều khoản thi hành</w:t>
            </w:r>
            <w:bookmarkEnd w:id="14"/>
          </w:p>
          <w:p w:rsidR="00B73FD9" w:rsidRPr="00AF7630" w:rsidRDefault="00B73FD9" w:rsidP="0001557F">
            <w:pPr>
              <w:jc w:val="both"/>
              <w:rPr>
                <w:rFonts w:ascii="Times New Roman" w:hAnsi="Times New Roman" w:cs="Times New Roman"/>
                <w:sz w:val="24"/>
                <w:szCs w:val="24"/>
                <w:lang w:val="vi-VN"/>
              </w:rPr>
            </w:pPr>
            <w:r w:rsidRPr="00AF7630">
              <w:rPr>
                <w:rFonts w:ascii="Times New Roman" w:hAnsi="Times New Roman" w:cs="Times New Roman"/>
                <w:i/>
                <w:sz w:val="24"/>
                <w:szCs w:val="24"/>
              </w:rPr>
              <w:t>Nghị định</w:t>
            </w:r>
            <w:r w:rsidRPr="00AF7630">
              <w:rPr>
                <w:rFonts w:ascii="Times New Roman" w:hAnsi="Times New Roman" w:cs="Times New Roman"/>
                <w:i/>
                <w:sz w:val="24"/>
                <w:szCs w:val="24"/>
                <w:lang w:val="vi-VN"/>
              </w:rPr>
              <w:t xml:space="preserve"> này có hiệu lực thi hành kể từ ngày</w:t>
            </w:r>
            <w:r w:rsidRPr="00AF7630">
              <w:rPr>
                <w:rFonts w:ascii="Times New Roman" w:hAnsi="Times New Roman" w:cs="Times New Roman"/>
                <w:i/>
                <w:sz w:val="24"/>
                <w:szCs w:val="24"/>
              </w:rPr>
              <w:t xml:space="preserve"> 01</w:t>
            </w:r>
            <w:r w:rsidRPr="00AF7630">
              <w:rPr>
                <w:rFonts w:ascii="Times New Roman" w:hAnsi="Times New Roman" w:cs="Times New Roman"/>
                <w:i/>
                <w:sz w:val="24"/>
                <w:szCs w:val="24"/>
                <w:lang w:val="vi-VN"/>
              </w:rPr>
              <w:t xml:space="preserve"> tháng </w:t>
            </w:r>
            <w:r w:rsidRPr="00AF7630">
              <w:rPr>
                <w:rFonts w:ascii="Times New Roman" w:hAnsi="Times New Roman" w:cs="Times New Roman"/>
                <w:i/>
                <w:sz w:val="24"/>
                <w:szCs w:val="24"/>
              </w:rPr>
              <w:t>07</w:t>
            </w:r>
            <w:r w:rsidRPr="00AF7630">
              <w:rPr>
                <w:rFonts w:ascii="Times New Roman" w:hAnsi="Times New Roman" w:cs="Times New Roman"/>
                <w:i/>
                <w:sz w:val="24"/>
                <w:szCs w:val="24"/>
                <w:lang w:val="vi-VN"/>
              </w:rPr>
              <w:t xml:space="preserve"> năm 202</w:t>
            </w:r>
            <w:r w:rsidRPr="00AF7630">
              <w:rPr>
                <w:rFonts w:ascii="Times New Roman" w:hAnsi="Times New Roman" w:cs="Times New Roman"/>
                <w:i/>
                <w:sz w:val="24"/>
                <w:szCs w:val="24"/>
              </w:rPr>
              <w:t>4</w:t>
            </w:r>
            <w:r w:rsidRPr="00AF7630">
              <w:rPr>
                <w:rFonts w:ascii="Times New Roman" w:hAnsi="Times New Roman" w:cs="Times New Roman"/>
                <w:i/>
                <w:sz w:val="24"/>
                <w:szCs w:val="24"/>
                <w:lang w:val="vi-VN"/>
              </w:rPr>
              <w:t>.</w:t>
            </w:r>
            <w:r w:rsidRPr="00AF7630">
              <w:rPr>
                <w:rFonts w:ascii="Times New Roman" w:hAnsi="Times New Roman" w:cs="Times New Roman"/>
                <w:i/>
                <w:sz w:val="24"/>
                <w:szCs w:val="24"/>
              </w:rPr>
              <w:t>”</w:t>
            </w:r>
          </w:p>
        </w:tc>
        <w:tc>
          <w:tcPr>
            <w:tcW w:w="5953" w:type="dxa"/>
          </w:tcPr>
          <w:p w:rsidR="00B73FD9" w:rsidRPr="00AF7630" w:rsidRDefault="00B73FD9" w:rsidP="0001557F">
            <w:pPr>
              <w:jc w:val="both"/>
              <w:rPr>
                <w:rFonts w:ascii="Times New Roman" w:hAnsi="Times New Roman" w:cs="Times New Roman"/>
                <w:sz w:val="24"/>
                <w:szCs w:val="24"/>
              </w:rPr>
            </w:pPr>
            <w:r w:rsidRPr="00AF7630">
              <w:rPr>
                <w:rFonts w:ascii="Times New Roman" w:hAnsi="Times New Roman" w:cs="Times New Roman"/>
                <w:b/>
                <w:bCs/>
                <w:i/>
                <w:iCs/>
                <w:sz w:val="24"/>
                <w:szCs w:val="24"/>
              </w:rPr>
              <w:t>Đề xuất: </w:t>
            </w:r>
            <w:r w:rsidRPr="00AF7630">
              <w:rPr>
                <w:rFonts w:ascii="Times New Roman" w:hAnsi="Times New Roman" w:cs="Times New Roman"/>
                <w:sz w:val="24"/>
                <w:szCs w:val="24"/>
              </w:rPr>
              <w:t>Quý Cơ quan xem xét để Dự thảo này có hiệu lực thi hành muộn hơn, hoặc đưa ra một thời điểm áp dụng muộn hơn đối với việc trích lập dự phòng cho các tài sản có là </w:t>
            </w:r>
            <w:r w:rsidRPr="00AF7630">
              <w:rPr>
                <w:rFonts w:ascii="Times New Roman" w:hAnsi="Times New Roman" w:cs="Times New Roman"/>
                <w:i/>
                <w:iCs/>
                <w:sz w:val="24"/>
                <w:szCs w:val="24"/>
              </w:rPr>
              <w:t>Thư tín dụng</w:t>
            </w:r>
            <w:r w:rsidRPr="00AF7630">
              <w:rPr>
                <w:rFonts w:ascii="Times New Roman" w:hAnsi="Times New Roman" w:cs="Times New Roman"/>
                <w:sz w:val="24"/>
                <w:szCs w:val="24"/>
              </w:rPr>
              <w:t> và </w:t>
            </w:r>
            <w:r w:rsidRPr="00AF7630">
              <w:rPr>
                <w:rFonts w:ascii="Times New Roman" w:hAnsi="Times New Roman" w:cs="Times New Roman"/>
                <w:i/>
                <w:iCs/>
                <w:sz w:val="24"/>
                <w:szCs w:val="24"/>
              </w:rPr>
              <w:t>Mua hẳn miễn truy đòi bộ chứng từ xuất trình theo thư tín dụng</w:t>
            </w:r>
            <w:r w:rsidRPr="00AF7630">
              <w:rPr>
                <w:rFonts w:ascii="Times New Roman" w:hAnsi="Times New Roman" w:cs="Times New Roman"/>
                <w:sz w:val="24"/>
                <w:szCs w:val="24"/>
              </w:rPr>
              <w:t>.</w:t>
            </w:r>
          </w:p>
          <w:p w:rsidR="00B73FD9" w:rsidRPr="00AF7630" w:rsidRDefault="00B73FD9" w:rsidP="0001557F">
            <w:pPr>
              <w:jc w:val="both"/>
              <w:rPr>
                <w:rFonts w:ascii="Times New Roman" w:hAnsi="Times New Roman" w:cs="Times New Roman"/>
                <w:sz w:val="24"/>
                <w:szCs w:val="24"/>
              </w:rPr>
            </w:pPr>
            <w:r w:rsidRPr="00AF7630">
              <w:rPr>
                <w:rFonts w:ascii="Times New Roman" w:hAnsi="Times New Roman" w:cs="Times New Roman"/>
                <w:b/>
                <w:bCs/>
                <w:sz w:val="24"/>
                <w:szCs w:val="24"/>
              </w:rPr>
              <w:t>-</w:t>
            </w:r>
            <w:r w:rsidRPr="00AF7630">
              <w:rPr>
                <w:rFonts w:ascii="Times New Roman" w:hAnsi="Times New Roman" w:cs="Times New Roman"/>
                <w:sz w:val="24"/>
                <w:szCs w:val="24"/>
              </w:rPr>
              <w:t>     </w:t>
            </w:r>
            <w:r w:rsidRPr="00AF7630">
              <w:rPr>
                <w:rFonts w:ascii="Times New Roman" w:hAnsi="Times New Roman" w:cs="Times New Roman"/>
                <w:b/>
                <w:bCs/>
                <w:i/>
                <w:iCs/>
                <w:sz w:val="24"/>
                <w:szCs w:val="24"/>
              </w:rPr>
              <w:t>Lý do đề xuất: </w:t>
            </w:r>
            <w:r w:rsidRPr="00AF7630">
              <w:rPr>
                <w:rFonts w:ascii="Times New Roman" w:hAnsi="Times New Roman" w:cs="Times New Roman"/>
                <w:sz w:val="24"/>
                <w:szCs w:val="24"/>
              </w:rPr>
              <w:t>Các tài sản có nêu trên là các đối tượng bị phân loại nợ và trích lập dự phòng mới được bổ sung các TCTD sẽ cần thêm thời gian để xây dựng chính sách và hệ thống nhằm theo dõi, phân loại nợ và trích lập dự phòng được cho các tài sản có này..</w:t>
            </w:r>
          </w:p>
        </w:tc>
        <w:tc>
          <w:tcPr>
            <w:tcW w:w="2268" w:type="dxa"/>
          </w:tcPr>
          <w:p w:rsidR="00B73FD9" w:rsidRPr="00AF7630" w:rsidRDefault="00B73FD9"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VPBank</w:t>
            </w:r>
          </w:p>
        </w:tc>
        <w:tc>
          <w:tcPr>
            <w:tcW w:w="4677" w:type="dxa"/>
          </w:tcPr>
          <w:p w:rsidR="00B73FD9" w:rsidRPr="00AF7630" w:rsidRDefault="00B73FD9" w:rsidP="0001557F">
            <w:pPr>
              <w:jc w:val="both"/>
              <w:rPr>
                <w:rFonts w:ascii="Times New Roman" w:eastAsia="Times New Roman" w:hAnsi="Times New Roman" w:cs="Times New Roman"/>
                <w:sz w:val="24"/>
                <w:szCs w:val="24"/>
              </w:rPr>
            </w:pPr>
            <w:r w:rsidRPr="00AF7630">
              <w:rPr>
                <w:rFonts w:ascii="Times New Roman" w:eastAsia="Times New Roman" w:hAnsi="Times New Roman" w:cs="Times New Roman"/>
                <w:sz w:val="24"/>
                <w:szCs w:val="24"/>
              </w:rPr>
              <w:t>Dự thảo Nghị định cần có hiệu lực thi hành cùng với thời điểm có hiệu lực thi hành của Luật các TCTD năm 2024.</w:t>
            </w:r>
          </w:p>
          <w:p w:rsidR="00B73FD9" w:rsidRPr="00AF7630" w:rsidRDefault="00B73FD9" w:rsidP="0001557F">
            <w:pPr>
              <w:ind w:firstLine="720"/>
              <w:rPr>
                <w:rFonts w:ascii="Times New Roman" w:eastAsia="Times New Roman" w:hAnsi="Times New Roman" w:cs="Times New Roman"/>
                <w:sz w:val="24"/>
                <w:szCs w:val="24"/>
              </w:rPr>
            </w:pPr>
          </w:p>
        </w:tc>
      </w:tr>
    </w:tbl>
    <w:p w:rsidR="00AB0738" w:rsidRPr="00DC55F7" w:rsidRDefault="00AB0738">
      <w:pPr>
        <w:spacing w:after="0" w:line="240" w:lineRule="auto"/>
        <w:jc w:val="both"/>
        <w:rPr>
          <w:rFonts w:ascii="Times New Roman" w:hAnsi="Times New Roman" w:cs="Times New Roman"/>
          <w:sz w:val="24"/>
          <w:szCs w:val="24"/>
        </w:rPr>
      </w:pPr>
    </w:p>
    <w:sectPr w:rsidR="00AB0738" w:rsidRPr="00DC55F7" w:rsidSect="00D24990">
      <w:headerReference w:type="default" r:id="rId12"/>
      <w:pgSz w:w="16838" w:h="11906" w:orient="landscape" w:code="9"/>
      <w:pgMar w:top="851" w:right="567" w:bottom="567" w:left="567" w:header="28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381" w:rsidRDefault="00694381" w:rsidP="00D35F01">
      <w:pPr>
        <w:spacing w:after="0" w:line="240" w:lineRule="auto"/>
      </w:pPr>
      <w:r>
        <w:separator/>
      </w:r>
    </w:p>
  </w:endnote>
  <w:endnote w:type="continuationSeparator" w:id="0">
    <w:p w:rsidR="00694381" w:rsidRDefault="00694381" w:rsidP="00D35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Aptima">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381" w:rsidRDefault="00694381" w:rsidP="00D35F01">
      <w:pPr>
        <w:spacing w:after="0" w:line="240" w:lineRule="auto"/>
      </w:pPr>
      <w:r>
        <w:separator/>
      </w:r>
    </w:p>
  </w:footnote>
  <w:footnote w:type="continuationSeparator" w:id="0">
    <w:p w:rsidR="00694381" w:rsidRDefault="00694381" w:rsidP="00D35F01">
      <w:pPr>
        <w:spacing w:after="0" w:line="240" w:lineRule="auto"/>
      </w:pPr>
      <w:r>
        <w:continuationSeparator/>
      </w:r>
    </w:p>
  </w:footnote>
  <w:footnote w:id="1">
    <w:p w:rsidR="000D7FC4" w:rsidRDefault="000D7FC4" w:rsidP="003816E2">
      <w:pPr>
        <w:pStyle w:val="FootnoteText"/>
        <w:jc w:val="both"/>
      </w:pPr>
      <w:r>
        <w:rPr>
          <w:rStyle w:val="FootnoteReference"/>
        </w:rPr>
        <w:footnoteRef/>
      </w:r>
      <w:r>
        <w:t xml:space="preserve"> Quyết định số 16/2007/QĐ-NHNN ngày 18 tháng 4 năm 2007 của Thống đốc Ngân hàng Nhà nước ban hành Chế độ báo cáo tài chính đối với các tổ chức tín dụng (đã được sửa đổi, bổ sung).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38113"/>
      <w:docPartObj>
        <w:docPartGallery w:val="Page Numbers (Top of Page)"/>
        <w:docPartUnique/>
      </w:docPartObj>
    </w:sdtPr>
    <w:sdtEndPr>
      <w:rPr>
        <w:rFonts w:ascii="Times New Roman" w:hAnsi="Times New Roman"/>
        <w:noProof/>
      </w:rPr>
    </w:sdtEndPr>
    <w:sdtContent>
      <w:p w:rsidR="00390B44" w:rsidRPr="00914192" w:rsidRDefault="00390B44">
        <w:pPr>
          <w:pStyle w:val="Header"/>
          <w:jc w:val="center"/>
          <w:rPr>
            <w:rFonts w:ascii="Times New Roman" w:hAnsi="Times New Roman"/>
          </w:rPr>
        </w:pPr>
        <w:r w:rsidRPr="00914192">
          <w:rPr>
            <w:rFonts w:ascii="Times New Roman" w:hAnsi="Times New Roman"/>
          </w:rPr>
          <w:fldChar w:fldCharType="begin"/>
        </w:r>
        <w:r w:rsidRPr="00914192">
          <w:rPr>
            <w:rFonts w:ascii="Times New Roman" w:hAnsi="Times New Roman"/>
          </w:rPr>
          <w:instrText xml:space="preserve"> PAGE   \* MERGEFORMAT </w:instrText>
        </w:r>
        <w:r w:rsidRPr="00914192">
          <w:rPr>
            <w:rFonts w:ascii="Times New Roman" w:hAnsi="Times New Roman"/>
          </w:rPr>
          <w:fldChar w:fldCharType="separate"/>
        </w:r>
        <w:r w:rsidR="00844781">
          <w:rPr>
            <w:rFonts w:ascii="Times New Roman" w:hAnsi="Times New Roman"/>
            <w:noProof/>
          </w:rPr>
          <w:t>1</w:t>
        </w:r>
        <w:r w:rsidRPr="00914192">
          <w:rPr>
            <w:rFonts w:ascii="Times New Roman" w:hAnsi="Times New Roman"/>
            <w:noProof/>
          </w:rPr>
          <w:fldChar w:fldCharType="end"/>
        </w:r>
      </w:p>
    </w:sdtContent>
  </w:sdt>
  <w:p w:rsidR="00390B44" w:rsidRDefault="00390B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E48E7"/>
    <w:multiLevelType w:val="hybridMultilevel"/>
    <w:tmpl w:val="6470A4B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30084D05"/>
    <w:multiLevelType w:val="hybridMultilevel"/>
    <w:tmpl w:val="FDC62A1C"/>
    <w:lvl w:ilvl="0" w:tplc="69E4D192">
      <w:start w:val="1"/>
      <w:numFmt w:val="bullet"/>
      <w:lvlText w:val="-"/>
      <w:lvlJc w:val="left"/>
      <w:pPr>
        <w:ind w:left="1080" w:hanging="360"/>
      </w:pPr>
      <w:rPr>
        <w:rFonts w:ascii="Sylfaen" w:hAnsi="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0A38E1"/>
    <w:multiLevelType w:val="hybridMultilevel"/>
    <w:tmpl w:val="02C8FD20"/>
    <w:lvl w:ilvl="0" w:tplc="4B068738">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nsid w:val="389C010A"/>
    <w:multiLevelType w:val="hybridMultilevel"/>
    <w:tmpl w:val="041E328A"/>
    <w:lvl w:ilvl="0" w:tplc="241CB5C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
    <w:nsid w:val="41F925A4"/>
    <w:multiLevelType w:val="hybridMultilevel"/>
    <w:tmpl w:val="C9DA48FA"/>
    <w:lvl w:ilvl="0" w:tplc="DD328C0A">
      <w:start w:val="1"/>
      <w:numFmt w:val="decimal"/>
      <w:suff w:val="nothing"/>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85B0E8C"/>
    <w:multiLevelType w:val="hybridMultilevel"/>
    <w:tmpl w:val="85B61F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AE7349"/>
    <w:multiLevelType w:val="hybridMultilevel"/>
    <w:tmpl w:val="359E5180"/>
    <w:lvl w:ilvl="0" w:tplc="7AA45E7C">
      <w:start w:val="1"/>
      <w:numFmt w:val="lowerLetter"/>
      <w:lvlText w:val="%1)"/>
      <w:lvlJc w:val="left"/>
      <w:pPr>
        <w:ind w:left="1302" w:hanging="360"/>
      </w:pPr>
      <w:rPr>
        <w:rFonts w:hint="default"/>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7">
    <w:nsid w:val="62A4013F"/>
    <w:multiLevelType w:val="hybridMultilevel"/>
    <w:tmpl w:val="614ADDA0"/>
    <w:lvl w:ilvl="0" w:tplc="E0303DB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7A6F468B"/>
    <w:multiLevelType w:val="hybridMultilevel"/>
    <w:tmpl w:val="D1066028"/>
    <w:lvl w:ilvl="0" w:tplc="C294248E">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6"/>
  </w:num>
  <w:num w:numId="3">
    <w:abstractNumId w:val="8"/>
  </w:num>
  <w:num w:numId="4">
    <w:abstractNumId w:val="2"/>
  </w:num>
  <w:num w:numId="5">
    <w:abstractNumId w:val="3"/>
  </w:num>
  <w:num w:numId="6">
    <w:abstractNumId w:val="5"/>
  </w:num>
  <w:num w:numId="7">
    <w:abstractNumId w:val="7"/>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515"/>
    <w:rsid w:val="000001B8"/>
    <w:rsid w:val="00000645"/>
    <w:rsid w:val="00002407"/>
    <w:rsid w:val="00005FB3"/>
    <w:rsid w:val="000152E9"/>
    <w:rsid w:val="0001557F"/>
    <w:rsid w:val="00017784"/>
    <w:rsid w:val="00024287"/>
    <w:rsid w:val="00026046"/>
    <w:rsid w:val="000260F5"/>
    <w:rsid w:val="00030B67"/>
    <w:rsid w:val="00031327"/>
    <w:rsid w:val="00032E41"/>
    <w:rsid w:val="00034D1E"/>
    <w:rsid w:val="0003582C"/>
    <w:rsid w:val="00037AE2"/>
    <w:rsid w:val="0004098E"/>
    <w:rsid w:val="00040A5F"/>
    <w:rsid w:val="000415B3"/>
    <w:rsid w:val="000439D5"/>
    <w:rsid w:val="00044891"/>
    <w:rsid w:val="00047609"/>
    <w:rsid w:val="000503A4"/>
    <w:rsid w:val="00050F39"/>
    <w:rsid w:val="000518F9"/>
    <w:rsid w:val="00056E04"/>
    <w:rsid w:val="00060CBE"/>
    <w:rsid w:val="00061A10"/>
    <w:rsid w:val="00065EA7"/>
    <w:rsid w:val="0006741B"/>
    <w:rsid w:val="000678FB"/>
    <w:rsid w:val="000703BA"/>
    <w:rsid w:val="0007281D"/>
    <w:rsid w:val="000737F8"/>
    <w:rsid w:val="00075C3B"/>
    <w:rsid w:val="00075CCE"/>
    <w:rsid w:val="000767CD"/>
    <w:rsid w:val="00077226"/>
    <w:rsid w:val="000809A8"/>
    <w:rsid w:val="0008178B"/>
    <w:rsid w:val="00086F98"/>
    <w:rsid w:val="00087B82"/>
    <w:rsid w:val="00087F03"/>
    <w:rsid w:val="00090858"/>
    <w:rsid w:val="000914CB"/>
    <w:rsid w:val="000963F6"/>
    <w:rsid w:val="00096760"/>
    <w:rsid w:val="000A0FE6"/>
    <w:rsid w:val="000A675D"/>
    <w:rsid w:val="000A6976"/>
    <w:rsid w:val="000A7296"/>
    <w:rsid w:val="000A77BD"/>
    <w:rsid w:val="000B0050"/>
    <w:rsid w:val="000B36BB"/>
    <w:rsid w:val="000B46AD"/>
    <w:rsid w:val="000B4D2A"/>
    <w:rsid w:val="000B5CDF"/>
    <w:rsid w:val="000B5FE2"/>
    <w:rsid w:val="000C2370"/>
    <w:rsid w:val="000C24B0"/>
    <w:rsid w:val="000C3CCD"/>
    <w:rsid w:val="000C4D6F"/>
    <w:rsid w:val="000C5A5D"/>
    <w:rsid w:val="000C5AD5"/>
    <w:rsid w:val="000C6AF7"/>
    <w:rsid w:val="000D21CF"/>
    <w:rsid w:val="000D3845"/>
    <w:rsid w:val="000D3D8F"/>
    <w:rsid w:val="000D5FE3"/>
    <w:rsid w:val="000D6F4C"/>
    <w:rsid w:val="000D79AE"/>
    <w:rsid w:val="000D7FC4"/>
    <w:rsid w:val="000E3358"/>
    <w:rsid w:val="000E4DCA"/>
    <w:rsid w:val="000F13A6"/>
    <w:rsid w:val="000F17BD"/>
    <w:rsid w:val="000F19FF"/>
    <w:rsid w:val="000F1CF0"/>
    <w:rsid w:val="000F343E"/>
    <w:rsid w:val="000F3F3B"/>
    <w:rsid w:val="000F4988"/>
    <w:rsid w:val="000F65F5"/>
    <w:rsid w:val="00100135"/>
    <w:rsid w:val="00104EC4"/>
    <w:rsid w:val="00105E4E"/>
    <w:rsid w:val="00112283"/>
    <w:rsid w:val="00112F26"/>
    <w:rsid w:val="00113F6B"/>
    <w:rsid w:val="00114538"/>
    <w:rsid w:val="00114ED6"/>
    <w:rsid w:val="001156FD"/>
    <w:rsid w:val="00116508"/>
    <w:rsid w:val="00120E3E"/>
    <w:rsid w:val="00121253"/>
    <w:rsid w:val="00127463"/>
    <w:rsid w:val="00130FED"/>
    <w:rsid w:val="001321F7"/>
    <w:rsid w:val="00133173"/>
    <w:rsid w:val="00133698"/>
    <w:rsid w:val="00133D69"/>
    <w:rsid w:val="00140F04"/>
    <w:rsid w:val="00141D57"/>
    <w:rsid w:val="00144FD3"/>
    <w:rsid w:val="0014622A"/>
    <w:rsid w:val="001468F5"/>
    <w:rsid w:val="00146DF0"/>
    <w:rsid w:val="00150A75"/>
    <w:rsid w:val="001524E8"/>
    <w:rsid w:val="0016052C"/>
    <w:rsid w:val="00163BDA"/>
    <w:rsid w:val="00165480"/>
    <w:rsid w:val="0017223B"/>
    <w:rsid w:val="00173801"/>
    <w:rsid w:val="001738BA"/>
    <w:rsid w:val="001749D7"/>
    <w:rsid w:val="001756CA"/>
    <w:rsid w:val="00176475"/>
    <w:rsid w:val="00177A1B"/>
    <w:rsid w:val="00180890"/>
    <w:rsid w:val="00180FA5"/>
    <w:rsid w:val="00184408"/>
    <w:rsid w:val="00185F8E"/>
    <w:rsid w:val="00190FF1"/>
    <w:rsid w:val="00191DFC"/>
    <w:rsid w:val="00191E32"/>
    <w:rsid w:val="00192BB7"/>
    <w:rsid w:val="001951C0"/>
    <w:rsid w:val="001A0299"/>
    <w:rsid w:val="001A0AB3"/>
    <w:rsid w:val="001A0D53"/>
    <w:rsid w:val="001A2B0F"/>
    <w:rsid w:val="001A4DF0"/>
    <w:rsid w:val="001A4FA0"/>
    <w:rsid w:val="001A638A"/>
    <w:rsid w:val="001B0377"/>
    <w:rsid w:val="001B0AE3"/>
    <w:rsid w:val="001B24CD"/>
    <w:rsid w:val="001B31B3"/>
    <w:rsid w:val="001C0035"/>
    <w:rsid w:val="001C4093"/>
    <w:rsid w:val="001C560B"/>
    <w:rsid w:val="001C6FB6"/>
    <w:rsid w:val="001C7234"/>
    <w:rsid w:val="001E1232"/>
    <w:rsid w:val="001E5890"/>
    <w:rsid w:val="001E7208"/>
    <w:rsid w:val="001F4732"/>
    <w:rsid w:val="001F61EC"/>
    <w:rsid w:val="001F6B28"/>
    <w:rsid w:val="002011E2"/>
    <w:rsid w:val="00201731"/>
    <w:rsid w:val="00204626"/>
    <w:rsid w:val="002050A7"/>
    <w:rsid w:val="002058DA"/>
    <w:rsid w:val="0020690D"/>
    <w:rsid w:val="00207532"/>
    <w:rsid w:val="00207C3B"/>
    <w:rsid w:val="00210994"/>
    <w:rsid w:val="002138FF"/>
    <w:rsid w:val="00213FF6"/>
    <w:rsid w:val="00215F04"/>
    <w:rsid w:val="00215FF1"/>
    <w:rsid w:val="0022079F"/>
    <w:rsid w:val="00225536"/>
    <w:rsid w:val="00225CBD"/>
    <w:rsid w:val="00226A5E"/>
    <w:rsid w:val="0022759C"/>
    <w:rsid w:val="0023187B"/>
    <w:rsid w:val="00232365"/>
    <w:rsid w:val="00233512"/>
    <w:rsid w:val="00233C39"/>
    <w:rsid w:val="00242388"/>
    <w:rsid w:val="002429C0"/>
    <w:rsid w:val="00247329"/>
    <w:rsid w:val="00250FB7"/>
    <w:rsid w:val="002510DD"/>
    <w:rsid w:val="002542D8"/>
    <w:rsid w:val="002567ED"/>
    <w:rsid w:val="00264A0B"/>
    <w:rsid w:val="00266143"/>
    <w:rsid w:val="00266B6E"/>
    <w:rsid w:val="002714FE"/>
    <w:rsid w:val="002718C2"/>
    <w:rsid w:val="00276114"/>
    <w:rsid w:val="00282543"/>
    <w:rsid w:val="002859F5"/>
    <w:rsid w:val="002866AC"/>
    <w:rsid w:val="00295B4A"/>
    <w:rsid w:val="00295B96"/>
    <w:rsid w:val="002A201A"/>
    <w:rsid w:val="002A331C"/>
    <w:rsid w:val="002A6386"/>
    <w:rsid w:val="002B29EB"/>
    <w:rsid w:val="002B398A"/>
    <w:rsid w:val="002B46E8"/>
    <w:rsid w:val="002B5B94"/>
    <w:rsid w:val="002B6004"/>
    <w:rsid w:val="002C11D1"/>
    <w:rsid w:val="002C2B00"/>
    <w:rsid w:val="002C3076"/>
    <w:rsid w:val="002C5C6C"/>
    <w:rsid w:val="002C6CB5"/>
    <w:rsid w:val="002C733D"/>
    <w:rsid w:val="002D0D5C"/>
    <w:rsid w:val="002D1F2C"/>
    <w:rsid w:val="002D2E8C"/>
    <w:rsid w:val="002D3AEF"/>
    <w:rsid w:val="002D4862"/>
    <w:rsid w:val="002D5F8A"/>
    <w:rsid w:val="002D735D"/>
    <w:rsid w:val="002D79F6"/>
    <w:rsid w:val="002E589C"/>
    <w:rsid w:val="002E790C"/>
    <w:rsid w:val="002F092E"/>
    <w:rsid w:val="002F14AF"/>
    <w:rsid w:val="002F259B"/>
    <w:rsid w:val="002F27B1"/>
    <w:rsid w:val="002F29F5"/>
    <w:rsid w:val="00303858"/>
    <w:rsid w:val="00304D55"/>
    <w:rsid w:val="00305D6D"/>
    <w:rsid w:val="003061F4"/>
    <w:rsid w:val="00307E82"/>
    <w:rsid w:val="00311315"/>
    <w:rsid w:val="00311751"/>
    <w:rsid w:val="0031250F"/>
    <w:rsid w:val="003162B3"/>
    <w:rsid w:val="0032027F"/>
    <w:rsid w:val="00321FBA"/>
    <w:rsid w:val="003263B0"/>
    <w:rsid w:val="0033075D"/>
    <w:rsid w:val="00331095"/>
    <w:rsid w:val="003339CC"/>
    <w:rsid w:val="00333CCC"/>
    <w:rsid w:val="003348F1"/>
    <w:rsid w:val="00334AB2"/>
    <w:rsid w:val="00335A48"/>
    <w:rsid w:val="00336BA7"/>
    <w:rsid w:val="003377EB"/>
    <w:rsid w:val="00351094"/>
    <w:rsid w:val="003540BD"/>
    <w:rsid w:val="00355142"/>
    <w:rsid w:val="0035528A"/>
    <w:rsid w:val="00356234"/>
    <w:rsid w:val="00357235"/>
    <w:rsid w:val="00360004"/>
    <w:rsid w:val="00360F9F"/>
    <w:rsid w:val="003611A5"/>
    <w:rsid w:val="00361870"/>
    <w:rsid w:val="00363286"/>
    <w:rsid w:val="0036672F"/>
    <w:rsid w:val="0037027C"/>
    <w:rsid w:val="00371D23"/>
    <w:rsid w:val="00372F8B"/>
    <w:rsid w:val="00373A50"/>
    <w:rsid w:val="003752EA"/>
    <w:rsid w:val="0037566D"/>
    <w:rsid w:val="0037598E"/>
    <w:rsid w:val="003762FE"/>
    <w:rsid w:val="00377256"/>
    <w:rsid w:val="003816E2"/>
    <w:rsid w:val="00381FDE"/>
    <w:rsid w:val="00382ECE"/>
    <w:rsid w:val="00384FBF"/>
    <w:rsid w:val="00390B22"/>
    <w:rsid w:val="00390B44"/>
    <w:rsid w:val="0039398F"/>
    <w:rsid w:val="0039419F"/>
    <w:rsid w:val="00395941"/>
    <w:rsid w:val="003A1139"/>
    <w:rsid w:val="003A1D3E"/>
    <w:rsid w:val="003A45E6"/>
    <w:rsid w:val="003A5CCD"/>
    <w:rsid w:val="003A5FD6"/>
    <w:rsid w:val="003B065D"/>
    <w:rsid w:val="003B1BDE"/>
    <w:rsid w:val="003B2D32"/>
    <w:rsid w:val="003B317B"/>
    <w:rsid w:val="003B4D76"/>
    <w:rsid w:val="003C0B78"/>
    <w:rsid w:val="003C120F"/>
    <w:rsid w:val="003C30DE"/>
    <w:rsid w:val="003C3898"/>
    <w:rsid w:val="003C4AEB"/>
    <w:rsid w:val="003C674B"/>
    <w:rsid w:val="003C6E26"/>
    <w:rsid w:val="003C7B68"/>
    <w:rsid w:val="003D21B4"/>
    <w:rsid w:val="003D3645"/>
    <w:rsid w:val="003D4480"/>
    <w:rsid w:val="003D49A5"/>
    <w:rsid w:val="003D62FC"/>
    <w:rsid w:val="003D7F6A"/>
    <w:rsid w:val="003E6910"/>
    <w:rsid w:val="003F03EF"/>
    <w:rsid w:val="003F0BF5"/>
    <w:rsid w:val="003F2E47"/>
    <w:rsid w:val="00400200"/>
    <w:rsid w:val="0040052A"/>
    <w:rsid w:val="00400C9A"/>
    <w:rsid w:val="00401897"/>
    <w:rsid w:val="00403C28"/>
    <w:rsid w:val="004047D8"/>
    <w:rsid w:val="00404CB3"/>
    <w:rsid w:val="00405397"/>
    <w:rsid w:val="00406AE6"/>
    <w:rsid w:val="00411D3E"/>
    <w:rsid w:val="00412758"/>
    <w:rsid w:val="0041362E"/>
    <w:rsid w:val="004138B8"/>
    <w:rsid w:val="00414498"/>
    <w:rsid w:val="00416E27"/>
    <w:rsid w:val="00420083"/>
    <w:rsid w:val="00423D80"/>
    <w:rsid w:val="00425036"/>
    <w:rsid w:val="00427821"/>
    <w:rsid w:val="0043151D"/>
    <w:rsid w:val="0043377A"/>
    <w:rsid w:val="0043647E"/>
    <w:rsid w:val="00444CC6"/>
    <w:rsid w:val="00451E28"/>
    <w:rsid w:val="004545A0"/>
    <w:rsid w:val="00456A46"/>
    <w:rsid w:val="004571D7"/>
    <w:rsid w:val="00457EE7"/>
    <w:rsid w:val="00467364"/>
    <w:rsid w:val="00471104"/>
    <w:rsid w:val="004716EC"/>
    <w:rsid w:val="004733FC"/>
    <w:rsid w:val="00473926"/>
    <w:rsid w:val="004758A5"/>
    <w:rsid w:val="00480AC6"/>
    <w:rsid w:val="00481D9F"/>
    <w:rsid w:val="0048413D"/>
    <w:rsid w:val="004870B3"/>
    <w:rsid w:val="00487203"/>
    <w:rsid w:val="00494499"/>
    <w:rsid w:val="004948A5"/>
    <w:rsid w:val="004A1157"/>
    <w:rsid w:val="004A40C2"/>
    <w:rsid w:val="004A566B"/>
    <w:rsid w:val="004A5833"/>
    <w:rsid w:val="004A62CA"/>
    <w:rsid w:val="004B1D37"/>
    <w:rsid w:val="004B52DB"/>
    <w:rsid w:val="004B60D9"/>
    <w:rsid w:val="004B7A26"/>
    <w:rsid w:val="004B7BF6"/>
    <w:rsid w:val="004C08C0"/>
    <w:rsid w:val="004C0DAB"/>
    <w:rsid w:val="004C1B42"/>
    <w:rsid w:val="004C4515"/>
    <w:rsid w:val="004C7380"/>
    <w:rsid w:val="004C7478"/>
    <w:rsid w:val="004D286D"/>
    <w:rsid w:val="004D49D5"/>
    <w:rsid w:val="004D4C28"/>
    <w:rsid w:val="004D60B4"/>
    <w:rsid w:val="004D7877"/>
    <w:rsid w:val="004E085E"/>
    <w:rsid w:val="004E3518"/>
    <w:rsid w:val="004E7F4B"/>
    <w:rsid w:val="004F021E"/>
    <w:rsid w:val="004F290B"/>
    <w:rsid w:val="004F6B91"/>
    <w:rsid w:val="004F6C49"/>
    <w:rsid w:val="0050047D"/>
    <w:rsid w:val="00500D54"/>
    <w:rsid w:val="00501491"/>
    <w:rsid w:val="0051035D"/>
    <w:rsid w:val="005119B0"/>
    <w:rsid w:val="005119C6"/>
    <w:rsid w:val="005163D3"/>
    <w:rsid w:val="00516BA9"/>
    <w:rsid w:val="00523083"/>
    <w:rsid w:val="00523540"/>
    <w:rsid w:val="00525AC0"/>
    <w:rsid w:val="00527A2C"/>
    <w:rsid w:val="00530317"/>
    <w:rsid w:val="00534C74"/>
    <w:rsid w:val="005354CF"/>
    <w:rsid w:val="0053776A"/>
    <w:rsid w:val="005405F1"/>
    <w:rsid w:val="0054066C"/>
    <w:rsid w:val="00540BAD"/>
    <w:rsid w:val="00540F98"/>
    <w:rsid w:val="00541ACA"/>
    <w:rsid w:val="00542BFD"/>
    <w:rsid w:val="005430DF"/>
    <w:rsid w:val="005452F2"/>
    <w:rsid w:val="0054544C"/>
    <w:rsid w:val="005458E1"/>
    <w:rsid w:val="00551C26"/>
    <w:rsid w:val="0055363A"/>
    <w:rsid w:val="0055531F"/>
    <w:rsid w:val="00557331"/>
    <w:rsid w:val="005574F7"/>
    <w:rsid w:val="0056002E"/>
    <w:rsid w:val="00564433"/>
    <w:rsid w:val="00565CCD"/>
    <w:rsid w:val="00571A5C"/>
    <w:rsid w:val="00573B8A"/>
    <w:rsid w:val="00583FA6"/>
    <w:rsid w:val="00584278"/>
    <w:rsid w:val="0058494A"/>
    <w:rsid w:val="00595B18"/>
    <w:rsid w:val="00595C85"/>
    <w:rsid w:val="00597EF7"/>
    <w:rsid w:val="005A01A1"/>
    <w:rsid w:val="005A2114"/>
    <w:rsid w:val="005A33B0"/>
    <w:rsid w:val="005A54A2"/>
    <w:rsid w:val="005A5716"/>
    <w:rsid w:val="005A5833"/>
    <w:rsid w:val="005A5D70"/>
    <w:rsid w:val="005A60A1"/>
    <w:rsid w:val="005A668F"/>
    <w:rsid w:val="005B1277"/>
    <w:rsid w:val="005B224D"/>
    <w:rsid w:val="005B3A0E"/>
    <w:rsid w:val="005B477C"/>
    <w:rsid w:val="005B49A8"/>
    <w:rsid w:val="005B5082"/>
    <w:rsid w:val="005B7101"/>
    <w:rsid w:val="005C074F"/>
    <w:rsid w:val="005C1A44"/>
    <w:rsid w:val="005C1E1F"/>
    <w:rsid w:val="005C2095"/>
    <w:rsid w:val="005C214E"/>
    <w:rsid w:val="005C5C9B"/>
    <w:rsid w:val="005C797B"/>
    <w:rsid w:val="005D1475"/>
    <w:rsid w:val="005D2179"/>
    <w:rsid w:val="005D48A7"/>
    <w:rsid w:val="005E3120"/>
    <w:rsid w:val="005E3DA7"/>
    <w:rsid w:val="005E41C6"/>
    <w:rsid w:val="005E505E"/>
    <w:rsid w:val="005E59D7"/>
    <w:rsid w:val="005F0212"/>
    <w:rsid w:val="005F5E56"/>
    <w:rsid w:val="005F75D4"/>
    <w:rsid w:val="005F7892"/>
    <w:rsid w:val="006009FC"/>
    <w:rsid w:val="00602CB4"/>
    <w:rsid w:val="00603B6C"/>
    <w:rsid w:val="00603D95"/>
    <w:rsid w:val="006048DA"/>
    <w:rsid w:val="00604DE9"/>
    <w:rsid w:val="00605E57"/>
    <w:rsid w:val="0060672F"/>
    <w:rsid w:val="0061080F"/>
    <w:rsid w:val="00611907"/>
    <w:rsid w:val="00611B36"/>
    <w:rsid w:val="00611DDC"/>
    <w:rsid w:val="00612383"/>
    <w:rsid w:val="0061417B"/>
    <w:rsid w:val="0061710B"/>
    <w:rsid w:val="00617570"/>
    <w:rsid w:val="00621738"/>
    <w:rsid w:val="0062369C"/>
    <w:rsid w:val="006239F8"/>
    <w:rsid w:val="00626DFC"/>
    <w:rsid w:val="00627C0C"/>
    <w:rsid w:val="00627CFA"/>
    <w:rsid w:val="00631F22"/>
    <w:rsid w:val="0063577B"/>
    <w:rsid w:val="0064085B"/>
    <w:rsid w:val="006424BC"/>
    <w:rsid w:val="00642529"/>
    <w:rsid w:val="006441B0"/>
    <w:rsid w:val="00644D3C"/>
    <w:rsid w:val="0064668B"/>
    <w:rsid w:val="00650B7B"/>
    <w:rsid w:val="00651BA0"/>
    <w:rsid w:val="006540A5"/>
    <w:rsid w:val="00654829"/>
    <w:rsid w:val="006551B5"/>
    <w:rsid w:val="00656603"/>
    <w:rsid w:val="0065741D"/>
    <w:rsid w:val="00657EE0"/>
    <w:rsid w:val="00660664"/>
    <w:rsid w:val="0066077D"/>
    <w:rsid w:val="006657B2"/>
    <w:rsid w:val="00671709"/>
    <w:rsid w:val="00671D68"/>
    <w:rsid w:val="00674249"/>
    <w:rsid w:val="006745B9"/>
    <w:rsid w:val="00681321"/>
    <w:rsid w:val="00681943"/>
    <w:rsid w:val="00682A86"/>
    <w:rsid w:val="00686EE3"/>
    <w:rsid w:val="00687309"/>
    <w:rsid w:val="00691077"/>
    <w:rsid w:val="0069372A"/>
    <w:rsid w:val="00693C11"/>
    <w:rsid w:val="00694381"/>
    <w:rsid w:val="006A0300"/>
    <w:rsid w:val="006A076D"/>
    <w:rsid w:val="006A17AA"/>
    <w:rsid w:val="006A400E"/>
    <w:rsid w:val="006A402A"/>
    <w:rsid w:val="006A5C55"/>
    <w:rsid w:val="006B0D2A"/>
    <w:rsid w:val="006B2507"/>
    <w:rsid w:val="006B32DA"/>
    <w:rsid w:val="006B44C6"/>
    <w:rsid w:val="006B4B05"/>
    <w:rsid w:val="006B51FD"/>
    <w:rsid w:val="006C1771"/>
    <w:rsid w:val="006C2EC1"/>
    <w:rsid w:val="006C59BA"/>
    <w:rsid w:val="006C63F5"/>
    <w:rsid w:val="006C6DDB"/>
    <w:rsid w:val="006D0677"/>
    <w:rsid w:val="006D75F6"/>
    <w:rsid w:val="006D766D"/>
    <w:rsid w:val="006D7966"/>
    <w:rsid w:val="006D7CE4"/>
    <w:rsid w:val="006F06CF"/>
    <w:rsid w:val="006F2ACC"/>
    <w:rsid w:val="006F3464"/>
    <w:rsid w:val="006F3C04"/>
    <w:rsid w:val="006F483B"/>
    <w:rsid w:val="006F642D"/>
    <w:rsid w:val="006F6CEF"/>
    <w:rsid w:val="006F742F"/>
    <w:rsid w:val="00702C35"/>
    <w:rsid w:val="0070339B"/>
    <w:rsid w:val="007058D9"/>
    <w:rsid w:val="00710758"/>
    <w:rsid w:val="0071183F"/>
    <w:rsid w:val="00713D20"/>
    <w:rsid w:val="007145D0"/>
    <w:rsid w:val="00714A93"/>
    <w:rsid w:val="00715D88"/>
    <w:rsid w:val="00721D24"/>
    <w:rsid w:val="00725DF7"/>
    <w:rsid w:val="00730D02"/>
    <w:rsid w:val="00731C72"/>
    <w:rsid w:val="0073533D"/>
    <w:rsid w:val="00740297"/>
    <w:rsid w:val="00743CA9"/>
    <w:rsid w:val="00747687"/>
    <w:rsid w:val="00751850"/>
    <w:rsid w:val="00752041"/>
    <w:rsid w:val="00754CD8"/>
    <w:rsid w:val="00755ED4"/>
    <w:rsid w:val="00761481"/>
    <w:rsid w:val="00761EFF"/>
    <w:rsid w:val="007639BE"/>
    <w:rsid w:val="00772F3D"/>
    <w:rsid w:val="00775A63"/>
    <w:rsid w:val="00776474"/>
    <w:rsid w:val="007802F9"/>
    <w:rsid w:val="00780C51"/>
    <w:rsid w:val="007820D3"/>
    <w:rsid w:val="00782946"/>
    <w:rsid w:val="007844AB"/>
    <w:rsid w:val="00784F62"/>
    <w:rsid w:val="00785EEA"/>
    <w:rsid w:val="007861D6"/>
    <w:rsid w:val="007870F8"/>
    <w:rsid w:val="00793203"/>
    <w:rsid w:val="00793420"/>
    <w:rsid w:val="00793C79"/>
    <w:rsid w:val="00794D45"/>
    <w:rsid w:val="007A1405"/>
    <w:rsid w:val="007A141E"/>
    <w:rsid w:val="007A278A"/>
    <w:rsid w:val="007A29BA"/>
    <w:rsid w:val="007A3371"/>
    <w:rsid w:val="007A6446"/>
    <w:rsid w:val="007A6619"/>
    <w:rsid w:val="007B36EC"/>
    <w:rsid w:val="007B7929"/>
    <w:rsid w:val="007C0557"/>
    <w:rsid w:val="007C0F7C"/>
    <w:rsid w:val="007C4A2D"/>
    <w:rsid w:val="007C5E1E"/>
    <w:rsid w:val="007C6DEA"/>
    <w:rsid w:val="007D2B92"/>
    <w:rsid w:val="007D5052"/>
    <w:rsid w:val="007D62EB"/>
    <w:rsid w:val="007D7258"/>
    <w:rsid w:val="007E14D1"/>
    <w:rsid w:val="007E15EA"/>
    <w:rsid w:val="007E3988"/>
    <w:rsid w:val="007E66E3"/>
    <w:rsid w:val="007E7731"/>
    <w:rsid w:val="007E7913"/>
    <w:rsid w:val="007F13C6"/>
    <w:rsid w:val="007F1FAD"/>
    <w:rsid w:val="007F2BCE"/>
    <w:rsid w:val="007F2F41"/>
    <w:rsid w:val="007F436E"/>
    <w:rsid w:val="007F483D"/>
    <w:rsid w:val="007F5FED"/>
    <w:rsid w:val="007F702D"/>
    <w:rsid w:val="00802411"/>
    <w:rsid w:val="0080261B"/>
    <w:rsid w:val="008055D6"/>
    <w:rsid w:val="00806D33"/>
    <w:rsid w:val="008070F7"/>
    <w:rsid w:val="00811DE3"/>
    <w:rsid w:val="0081323C"/>
    <w:rsid w:val="00816935"/>
    <w:rsid w:val="00821C61"/>
    <w:rsid w:val="00822D05"/>
    <w:rsid w:val="00826AD1"/>
    <w:rsid w:val="00840069"/>
    <w:rsid w:val="00842E91"/>
    <w:rsid w:val="00844781"/>
    <w:rsid w:val="0084550A"/>
    <w:rsid w:val="008507E1"/>
    <w:rsid w:val="00850A57"/>
    <w:rsid w:val="00851B08"/>
    <w:rsid w:val="008536DB"/>
    <w:rsid w:val="0085430F"/>
    <w:rsid w:val="0086191E"/>
    <w:rsid w:val="008645B6"/>
    <w:rsid w:val="00864EC3"/>
    <w:rsid w:val="00866E17"/>
    <w:rsid w:val="008704C7"/>
    <w:rsid w:val="00870BEF"/>
    <w:rsid w:val="00870CBB"/>
    <w:rsid w:val="0087463C"/>
    <w:rsid w:val="00876A56"/>
    <w:rsid w:val="00876EE8"/>
    <w:rsid w:val="0087754D"/>
    <w:rsid w:val="008816F9"/>
    <w:rsid w:val="008824C2"/>
    <w:rsid w:val="00885453"/>
    <w:rsid w:val="00886937"/>
    <w:rsid w:val="008870F8"/>
    <w:rsid w:val="00887D11"/>
    <w:rsid w:val="00891164"/>
    <w:rsid w:val="00893199"/>
    <w:rsid w:val="00896281"/>
    <w:rsid w:val="00896AD8"/>
    <w:rsid w:val="00896B84"/>
    <w:rsid w:val="008970CE"/>
    <w:rsid w:val="008A0641"/>
    <w:rsid w:val="008A2029"/>
    <w:rsid w:val="008A34F8"/>
    <w:rsid w:val="008B1064"/>
    <w:rsid w:val="008B2C7D"/>
    <w:rsid w:val="008B3734"/>
    <w:rsid w:val="008B6242"/>
    <w:rsid w:val="008B6940"/>
    <w:rsid w:val="008B6EAA"/>
    <w:rsid w:val="008C173F"/>
    <w:rsid w:val="008C2259"/>
    <w:rsid w:val="008C2517"/>
    <w:rsid w:val="008C389D"/>
    <w:rsid w:val="008C4A17"/>
    <w:rsid w:val="008C5875"/>
    <w:rsid w:val="008C6E09"/>
    <w:rsid w:val="008C79D9"/>
    <w:rsid w:val="008D07FB"/>
    <w:rsid w:val="008D1AAA"/>
    <w:rsid w:val="008D2C2C"/>
    <w:rsid w:val="008D2E60"/>
    <w:rsid w:val="008D3C9D"/>
    <w:rsid w:val="008D4E66"/>
    <w:rsid w:val="008E1844"/>
    <w:rsid w:val="008E1EAE"/>
    <w:rsid w:val="008E36DD"/>
    <w:rsid w:val="008E3F10"/>
    <w:rsid w:val="008E6197"/>
    <w:rsid w:val="008E6C8E"/>
    <w:rsid w:val="008E7AF4"/>
    <w:rsid w:val="008F5CE5"/>
    <w:rsid w:val="009017C3"/>
    <w:rsid w:val="0090692C"/>
    <w:rsid w:val="0090733B"/>
    <w:rsid w:val="00907946"/>
    <w:rsid w:val="0091299C"/>
    <w:rsid w:val="00914192"/>
    <w:rsid w:val="00914DEE"/>
    <w:rsid w:val="00921D0C"/>
    <w:rsid w:val="00921D80"/>
    <w:rsid w:val="00921F48"/>
    <w:rsid w:val="0092245F"/>
    <w:rsid w:val="0092274C"/>
    <w:rsid w:val="00923EA8"/>
    <w:rsid w:val="009244F5"/>
    <w:rsid w:val="00932857"/>
    <w:rsid w:val="009406FE"/>
    <w:rsid w:val="00941C44"/>
    <w:rsid w:val="00942F85"/>
    <w:rsid w:val="00943598"/>
    <w:rsid w:val="00950FF1"/>
    <w:rsid w:val="00963898"/>
    <w:rsid w:val="00973C48"/>
    <w:rsid w:val="00975EBC"/>
    <w:rsid w:val="0098122A"/>
    <w:rsid w:val="00984516"/>
    <w:rsid w:val="00984C8C"/>
    <w:rsid w:val="0099149F"/>
    <w:rsid w:val="00992C70"/>
    <w:rsid w:val="00993F15"/>
    <w:rsid w:val="009968AF"/>
    <w:rsid w:val="0099787E"/>
    <w:rsid w:val="009A01B3"/>
    <w:rsid w:val="009A3005"/>
    <w:rsid w:val="009A4AD2"/>
    <w:rsid w:val="009B0390"/>
    <w:rsid w:val="009B13C2"/>
    <w:rsid w:val="009B2075"/>
    <w:rsid w:val="009B3890"/>
    <w:rsid w:val="009C1AA6"/>
    <w:rsid w:val="009C41D6"/>
    <w:rsid w:val="009C5EE8"/>
    <w:rsid w:val="009D0D19"/>
    <w:rsid w:val="009D1712"/>
    <w:rsid w:val="009D2A63"/>
    <w:rsid w:val="009D47B2"/>
    <w:rsid w:val="009D58BF"/>
    <w:rsid w:val="009D6154"/>
    <w:rsid w:val="009E1239"/>
    <w:rsid w:val="009E49FA"/>
    <w:rsid w:val="009E5594"/>
    <w:rsid w:val="009E6D9E"/>
    <w:rsid w:val="009E7123"/>
    <w:rsid w:val="009E730E"/>
    <w:rsid w:val="009E7CB0"/>
    <w:rsid w:val="009F0575"/>
    <w:rsid w:val="009F6FFE"/>
    <w:rsid w:val="009F7786"/>
    <w:rsid w:val="00A06EBB"/>
    <w:rsid w:val="00A0791E"/>
    <w:rsid w:val="00A10A1A"/>
    <w:rsid w:val="00A1159D"/>
    <w:rsid w:val="00A128AB"/>
    <w:rsid w:val="00A13491"/>
    <w:rsid w:val="00A14BD4"/>
    <w:rsid w:val="00A14F8C"/>
    <w:rsid w:val="00A17958"/>
    <w:rsid w:val="00A17ECA"/>
    <w:rsid w:val="00A2024E"/>
    <w:rsid w:val="00A22BBC"/>
    <w:rsid w:val="00A23C77"/>
    <w:rsid w:val="00A265FF"/>
    <w:rsid w:val="00A269F6"/>
    <w:rsid w:val="00A3107E"/>
    <w:rsid w:val="00A314AA"/>
    <w:rsid w:val="00A37AEB"/>
    <w:rsid w:val="00A4033C"/>
    <w:rsid w:val="00A421CA"/>
    <w:rsid w:val="00A42915"/>
    <w:rsid w:val="00A43B1F"/>
    <w:rsid w:val="00A533FF"/>
    <w:rsid w:val="00A53F64"/>
    <w:rsid w:val="00A54552"/>
    <w:rsid w:val="00A552B3"/>
    <w:rsid w:val="00A5534B"/>
    <w:rsid w:val="00A560D6"/>
    <w:rsid w:val="00A56483"/>
    <w:rsid w:val="00A6024E"/>
    <w:rsid w:val="00A61CFE"/>
    <w:rsid w:val="00A61E81"/>
    <w:rsid w:val="00A63214"/>
    <w:rsid w:val="00A63E27"/>
    <w:rsid w:val="00A64F1B"/>
    <w:rsid w:val="00A67215"/>
    <w:rsid w:val="00A701D2"/>
    <w:rsid w:val="00A738AC"/>
    <w:rsid w:val="00A75AD4"/>
    <w:rsid w:val="00A75DE0"/>
    <w:rsid w:val="00A771BA"/>
    <w:rsid w:val="00A8165F"/>
    <w:rsid w:val="00A83DCD"/>
    <w:rsid w:val="00A83F55"/>
    <w:rsid w:val="00A84329"/>
    <w:rsid w:val="00A84842"/>
    <w:rsid w:val="00A85933"/>
    <w:rsid w:val="00A90424"/>
    <w:rsid w:val="00A91045"/>
    <w:rsid w:val="00A9191F"/>
    <w:rsid w:val="00A92193"/>
    <w:rsid w:val="00A9303C"/>
    <w:rsid w:val="00A96675"/>
    <w:rsid w:val="00AA2035"/>
    <w:rsid w:val="00AA234C"/>
    <w:rsid w:val="00AA5A55"/>
    <w:rsid w:val="00AB0738"/>
    <w:rsid w:val="00AB1FF2"/>
    <w:rsid w:val="00AB266E"/>
    <w:rsid w:val="00AC08C0"/>
    <w:rsid w:val="00AC343D"/>
    <w:rsid w:val="00AC3FC6"/>
    <w:rsid w:val="00AC4A0D"/>
    <w:rsid w:val="00AC6871"/>
    <w:rsid w:val="00AD002C"/>
    <w:rsid w:val="00AD027F"/>
    <w:rsid w:val="00AD311F"/>
    <w:rsid w:val="00AD37FF"/>
    <w:rsid w:val="00AD73ED"/>
    <w:rsid w:val="00AE3CD9"/>
    <w:rsid w:val="00AE5E2E"/>
    <w:rsid w:val="00AF18D9"/>
    <w:rsid w:val="00AF1DF7"/>
    <w:rsid w:val="00AF2E66"/>
    <w:rsid w:val="00AF7630"/>
    <w:rsid w:val="00AF7F2F"/>
    <w:rsid w:val="00B0069C"/>
    <w:rsid w:val="00B01F1A"/>
    <w:rsid w:val="00B10AF1"/>
    <w:rsid w:val="00B1283A"/>
    <w:rsid w:val="00B13309"/>
    <w:rsid w:val="00B13C88"/>
    <w:rsid w:val="00B14012"/>
    <w:rsid w:val="00B15618"/>
    <w:rsid w:val="00B16422"/>
    <w:rsid w:val="00B17C44"/>
    <w:rsid w:val="00B17D57"/>
    <w:rsid w:val="00B24412"/>
    <w:rsid w:val="00B24E5F"/>
    <w:rsid w:val="00B250CC"/>
    <w:rsid w:val="00B302B7"/>
    <w:rsid w:val="00B30869"/>
    <w:rsid w:val="00B34B9D"/>
    <w:rsid w:val="00B40969"/>
    <w:rsid w:val="00B42A38"/>
    <w:rsid w:val="00B455A4"/>
    <w:rsid w:val="00B45752"/>
    <w:rsid w:val="00B460F6"/>
    <w:rsid w:val="00B46ECB"/>
    <w:rsid w:val="00B47837"/>
    <w:rsid w:val="00B511CB"/>
    <w:rsid w:val="00B54885"/>
    <w:rsid w:val="00B557AB"/>
    <w:rsid w:val="00B61490"/>
    <w:rsid w:val="00B634F1"/>
    <w:rsid w:val="00B63E06"/>
    <w:rsid w:val="00B724CB"/>
    <w:rsid w:val="00B73FD9"/>
    <w:rsid w:val="00B752EB"/>
    <w:rsid w:val="00B75E00"/>
    <w:rsid w:val="00B76BB4"/>
    <w:rsid w:val="00B8238D"/>
    <w:rsid w:val="00B903CB"/>
    <w:rsid w:val="00B941F7"/>
    <w:rsid w:val="00B96725"/>
    <w:rsid w:val="00B978F7"/>
    <w:rsid w:val="00BA0FC3"/>
    <w:rsid w:val="00BA138A"/>
    <w:rsid w:val="00BA6F8F"/>
    <w:rsid w:val="00BA732C"/>
    <w:rsid w:val="00BB0D1E"/>
    <w:rsid w:val="00BB257E"/>
    <w:rsid w:val="00BB33E6"/>
    <w:rsid w:val="00BC06C2"/>
    <w:rsid w:val="00BC0BDF"/>
    <w:rsid w:val="00BC289C"/>
    <w:rsid w:val="00BC315F"/>
    <w:rsid w:val="00BC4F25"/>
    <w:rsid w:val="00BD00F2"/>
    <w:rsid w:val="00BD6241"/>
    <w:rsid w:val="00BD69D3"/>
    <w:rsid w:val="00BD6E57"/>
    <w:rsid w:val="00BD79D0"/>
    <w:rsid w:val="00BE08C7"/>
    <w:rsid w:val="00BE2BF7"/>
    <w:rsid w:val="00BE3591"/>
    <w:rsid w:val="00BE5C0C"/>
    <w:rsid w:val="00BF3C9C"/>
    <w:rsid w:val="00BF40CA"/>
    <w:rsid w:val="00BF4581"/>
    <w:rsid w:val="00BF4CD0"/>
    <w:rsid w:val="00BF502F"/>
    <w:rsid w:val="00BF5EA1"/>
    <w:rsid w:val="00BF75E4"/>
    <w:rsid w:val="00BF7796"/>
    <w:rsid w:val="00C00D1C"/>
    <w:rsid w:val="00C05A09"/>
    <w:rsid w:val="00C0657D"/>
    <w:rsid w:val="00C06F30"/>
    <w:rsid w:val="00C07412"/>
    <w:rsid w:val="00C12081"/>
    <w:rsid w:val="00C133E8"/>
    <w:rsid w:val="00C1541D"/>
    <w:rsid w:val="00C15E1D"/>
    <w:rsid w:val="00C16105"/>
    <w:rsid w:val="00C17C54"/>
    <w:rsid w:val="00C20A5B"/>
    <w:rsid w:val="00C21D55"/>
    <w:rsid w:val="00C21ED1"/>
    <w:rsid w:val="00C243C9"/>
    <w:rsid w:val="00C32225"/>
    <w:rsid w:val="00C37297"/>
    <w:rsid w:val="00C37B2E"/>
    <w:rsid w:val="00C420C0"/>
    <w:rsid w:val="00C42E55"/>
    <w:rsid w:val="00C43C7B"/>
    <w:rsid w:val="00C45DC1"/>
    <w:rsid w:val="00C5008E"/>
    <w:rsid w:val="00C55869"/>
    <w:rsid w:val="00C564A7"/>
    <w:rsid w:val="00C606DA"/>
    <w:rsid w:val="00C6180B"/>
    <w:rsid w:val="00C62EE9"/>
    <w:rsid w:val="00C640E4"/>
    <w:rsid w:val="00C6647C"/>
    <w:rsid w:val="00C7038C"/>
    <w:rsid w:val="00C77833"/>
    <w:rsid w:val="00C81491"/>
    <w:rsid w:val="00C8284C"/>
    <w:rsid w:val="00C82E37"/>
    <w:rsid w:val="00C8309A"/>
    <w:rsid w:val="00C86011"/>
    <w:rsid w:val="00C8785A"/>
    <w:rsid w:val="00C90571"/>
    <w:rsid w:val="00C92115"/>
    <w:rsid w:val="00C933D8"/>
    <w:rsid w:val="00C93AA9"/>
    <w:rsid w:val="00CA26C7"/>
    <w:rsid w:val="00CA2808"/>
    <w:rsid w:val="00CA31A7"/>
    <w:rsid w:val="00CA49A0"/>
    <w:rsid w:val="00CA6BF3"/>
    <w:rsid w:val="00CA6CAB"/>
    <w:rsid w:val="00CA7381"/>
    <w:rsid w:val="00CA7F61"/>
    <w:rsid w:val="00CB18DF"/>
    <w:rsid w:val="00CB32E0"/>
    <w:rsid w:val="00CB4166"/>
    <w:rsid w:val="00CB45F9"/>
    <w:rsid w:val="00CB463E"/>
    <w:rsid w:val="00CC04BB"/>
    <w:rsid w:val="00CC0C5F"/>
    <w:rsid w:val="00CC1F4A"/>
    <w:rsid w:val="00CC494F"/>
    <w:rsid w:val="00CC552A"/>
    <w:rsid w:val="00CC6225"/>
    <w:rsid w:val="00CC7322"/>
    <w:rsid w:val="00CD0013"/>
    <w:rsid w:val="00CD0338"/>
    <w:rsid w:val="00CD2476"/>
    <w:rsid w:val="00CD2D8A"/>
    <w:rsid w:val="00CD33C2"/>
    <w:rsid w:val="00CD3C55"/>
    <w:rsid w:val="00CE2657"/>
    <w:rsid w:val="00CE340E"/>
    <w:rsid w:val="00CE405A"/>
    <w:rsid w:val="00CE577A"/>
    <w:rsid w:val="00CE7898"/>
    <w:rsid w:val="00CF2458"/>
    <w:rsid w:val="00CF441D"/>
    <w:rsid w:val="00CF5ED9"/>
    <w:rsid w:val="00CF7105"/>
    <w:rsid w:val="00D01203"/>
    <w:rsid w:val="00D02AAD"/>
    <w:rsid w:val="00D051F1"/>
    <w:rsid w:val="00D05468"/>
    <w:rsid w:val="00D0569C"/>
    <w:rsid w:val="00D10E79"/>
    <w:rsid w:val="00D120E0"/>
    <w:rsid w:val="00D14555"/>
    <w:rsid w:val="00D20BE5"/>
    <w:rsid w:val="00D22282"/>
    <w:rsid w:val="00D22981"/>
    <w:rsid w:val="00D24990"/>
    <w:rsid w:val="00D25691"/>
    <w:rsid w:val="00D25713"/>
    <w:rsid w:val="00D267A5"/>
    <w:rsid w:val="00D34349"/>
    <w:rsid w:val="00D34949"/>
    <w:rsid w:val="00D356F6"/>
    <w:rsid w:val="00D35F01"/>
    <w:rsid w:val="00D4001D"/>
    <w:rsid w:val="00D4107C"/>
    <w:rsid w:val="00D415D9"/>
    <w:rsid w:val="00D44E73"/>
    <w:rsid w:val="00D46050"/>
    <w:rsid w:val="00D461BD"/>
    <w:rsid w:val="00D46390"/>
    <w:rsid w:val="00D47154"/>
    <w:rsid w:val="00D50CAC"/>
    <w:rsid w:val="00D519E7"/>
    <w:rsid w:val="00D5636B"/>
    <w:rsid w:val="00D57FE5"/>
    <w:rsid w:val="00D61B11"/>
    <w:rsid w:val="00D627FD"/>
    <w:rsid w:val="00D642B8"/>
    <w:rsid w:val="00D64F3C"/>
    <w:rsid w:val="00D65DC9"/>
    <w:rsid w:val="00D65E57"/>
    <w:rsid w:val="00D66147"/>
    <w:rsid w:val="00D708B6"/>
    <w:rsid w:val="00D73E58"/>
    <w:rsid w:val="00D75F2A"/>
    <w:rsid w:val="00D904AC"/>
    <w:rsid w:val="00D958BB"/>
    <w:rsid w:val="00D972E7"/>
    <w:rsid w:val="00DA08E9"/>
    <w:rsid w:val="00DA24A8"/>
    <w:rsid w:val="00DA2A71"/>
    <w:rsid w:val="00DA2CCB"/>
    <w:rsid w:val="00DA2FA2"/>
    <w:rsid w:val="00DA59EA"/>
    <w:rsid w:val="00DA65BC"/>
    <w:rsid w:val="00DB013E"/>
    <w:rsid w:val="00DB3283"/>
    <w:rsid w:val="00DB3C12"/>
    <w:rsid w:val="00DB64F7"/>
    <w:rsid w:val="00DB6B4C"/>
    <w:rsid w:val="00DB7D16"/>
    <w:rsid w:val="00DC00FB"/>
    <w:rsid w:val="00DC53EF"/>
    <w:rsid w:val="00DC55F7"/>
    <w:rsid w:val="00DC5FFA"/>
    <w:rsid w:val="00DC67D6"/>
    <w:rsid w:val="00DC6CCF"/>
    <w:rsid w:val="00DC74D9"/>
    <w:rsid w:val="00DD080E"/>
    <w:rsid w:val="00DD7AD8"/>
    <w:rsid w:val="00DD7AE7"/>
    <w:rsid w:val="00DE21B9"/>
    <w:rsid w:val="00DE3866"/>
    <w:rsid w:val="00DE5499"/>
    <w:rsid w:val="00DF099F"/>
    <w:rsid w:val="00DF3276"/>
    <w:rsid w:val="00DF4626"/>
    <w:rsid w:val="00DF4F98"/>
    <w:rsid w:val="00DF5514"/>
    <w:rsid w:val="00DF6318"/>
    <w:rsid w:val="00E00C68"/>
    <w:rsid w:val="00E044D5"/>
    <w:rsid w:val="00E04505"/>
    <w:rsid w:val="00E059C9"/>
    <w:rsid w:val="00E120D5"/>
    <w:rsid w:val="00E15AF5"/>
    <w:rsid w:val="00E15B6F"/>
    <w:rsid w:val="00E21703"/>
    <w:rsid w:val="00E253CF"/>
    <w:rsid w:val="00E26DC2"/>
    <w:rsid w:val="00E335F2"/>
    <w:rsid w:val="00E34154"/>
    <w:rsid w:val="00E35D04"/>
    <w:rsid w:val="00E4079B"/>
    <w:rsid w:val="00E41025"/>
    <w:rsid w:val="00E42DEF"/>
    <w:rsid w:val="00E42DFD"/>
    <w:rsid w:val="00E52E24"/>
    <w:rsid w:val="00E5502B"/>
    <w:rsid w:val="00E57327"/>
    <w:rsid w:val="00E6060D"/>
    <w:rsid w:val="00E60ABD"/>
    <w:rsid w:val="00E610EB"/>
    <w:rsid w:val="00E6186A"/>
    <w:rsid w:val="00E6540F"/>
    <w:rsid w:val="00E67E3B"/>
    <w:rsid w:val="00E7215C"/>
    <w:rsid w:val="00E7321D"/>
    <w:rsid w:val="00E8393E"/>
    <w:rsid w:val="00E87A3A"/>
    <w:rsid w:val="00E93564"/>
    <w:rsid w:val="00E96BC9"/>
    <w:rsid w:val="00EA27E6"/>
    <w:rsid w:val="00EA4719"/>
    <w:rsid w:val="00EA5D13"/>
    <w:rsid w:val="00EA62FB"/>
    <w:rsid w:val="00EA7C92"/>
    <w:rsid w:val="00EB0D5E"/>
    <w:rsid w:val="00EB154F"/>
    <w:rsid w:val="00EB2841"/>
    <w:rsid w:val="00EB4681"/>
    <w:rsid w:val="00EB51D1"/>
    <w:rsid w:val="00EB598A"/>
    <w:rsid w:val="00EB7303"/>
    <w:rsid w:val="00EC37DB"/>
    <w:rsid w:val="00EC5A24"/>
    <w:rsid w:val="00EC5A5D"/>
    <w:rsid w:val="00EC6821"/>
    <w:rsid w:val="00EC6AE5"/>
    <w:rsid w:val="00EC6F97"/>
    <w:rsid w:val="00ED1A96"/>
    <w:rsid w:val="00ED2384"/>
    <w:rsid w:val="00ED261D"/>
    <w:rsid w:val="00ED3532"/>
    <w:rsid w:val="00ED3D6A"/>
    <w:rsid w:val="00ED4A39"/>
    <w:rsid w:val="00ED717B"/>
    <w:rsid w:val="00EE1FD7"/>
    <w:rsid w:val="00EE4AA6"/>
    <w:rsid w:val="00EE4D85"/>
    <w:rsid w:val="00EE643F"/>
    <w:rsid w:val="00EF023F"/>
    <w:rsid w:val="00EF0FE1"/>
    <w:rsid w:val="00EF3AE6"/>
    <w:rsid w:val="00EF7E48"/>
    <w:rsid w:val="00F0459F"/>
    <w:rsid w:val="00F04DE6"/>
    <w:rsid w:val="00F05EB9"/>
    <w:rsid w:val="00F06D59"/>
    <w:rsid w:val="00F07741"/>
    <w:rsid w:val="00F12158"/>
    <w:rsid w:val="00F20F56"/>
    <w:rsid w:val="00F21068"/>
    <w:rsid w:val="00F22016"/>
    <w:rsid w:val="00F22E57"/>
    <w:rsid w:val="00F22E5C"/>
    <w:rsid w:val="00F23D68"/>
    <w:rsid w:val="00F25A8B"/>
    <w:rsid w:val="00F3052A"/>
    <w:rsid w:val="00F311C2"/>
    <w:rsid w:val="00F326F0"/>
    <w:rsid w:val="00F32EF2"/>
    <w:rsid w:val="00F3645B"/>
    <w:rsid w:val="00F37514"/>
    <w:rsid w:val="00F43E93"/>
    <w:rsid w:val="00F43FA8"/>
    <w:rsid w:val="00F45664"/>
    <w:rsid w:val="00F45B69"/>
    <w:rsid w:val="00F4703A"/>
    <w:rsid w:val="00F52EA0"/>
    <w:rsid w:val="00F53518"/>
    <w:rsid w:val="00F53F18"/>
    <w:rsid w:val="00F62911"/>
    <w:rsid w:val="00F65A62"/>
    <w:rsid w:val="00F66BC2"/>
    <w:rsid w:val="00F71419"/>
    <w:rsid w:val="00F7187B"/>
    <w:rsid w:val="00F71AB0"/>
    <w:rsid w:val="00F73BB1"/>
    <w:rsid w:val="00F8126E"/>
    <w:rsid w:val="00F81FC3"/>
    <w:rsid w:val="00F8350A"/>
    <w:rsid w:val="00F83AAA"/>
    <w:rsid w:val="00F840EB"/>
    <w:rsid w:val="00F86707"/>
    <w:rsid w:val="00F86E0E"/>
    <w:rsid w:val="00F87912"/>
    <w:rsid w:val="00F96231"/>
    <w:rsid w:val="00FA127B"/>
    <w:rsid w:val="00FA5D04"/>
    <w:rsid w:val="00FA7BAA"/>
    <w:rsid w:val="00FB0233"/>
    <w:rsid w:val="00FC07DF"/>
    <w:rsid w:val="00FC1599"/>
    <w:rsid w:val="00FC35AE"/>
    <w:rsid w:val="00FC3D4E"/>
    <w:rsid w:val="00FC5897"/>
    <w:rsid w:val="00FD0808"/>
    <w:rsid w:val="00FD11C7"/>
    <w:rsid w:val="00FD2B9A"/>
    <w:rsid w:val="00FD5A00"/>
    <w:rsid w:val="00FE2DD2"/>
    <w:rsid w:val="00FE39B3"/>
    <w:rsid w:val="00FE4B74"/>
    <w:rsid w:val="00FE6388"/>
    <w:rsid w:val="00FE736A"/>
    <w:rsid w:val="00FE7C14"/>
    <w:rsid w:val="00FE7CC5"/>
    <w:rsid w:val="00FF1DD4"/>
    <w:rsid w:val="00FF1E80"/>
    <w:rsid w:val="00FF4229"/>
    <w:rsid w:val="00FF4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570"/>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4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1,List A,bullet,Dot 1,Thang2,Level 2"/>
    <w:basedOn w:val="Normal"/>
    <w:link w:val="ListParagraphChar"/>
    <w:uiPriority w:val="34"/>
    <w:qFormat/>
    <w:rsid w:val="00660664"/>
    <w:pPr>
      <w:ind w:left="720"/>
      <w:contextualSpacing/>
    </w:pPr>
  </w:style>
  <w:style w:type="character" w:customStyle="1" w:styleId="ListParagraphChar">
    <w:name w:val="List Paragraph Char"/>
    <w:aliases w:val="List Paragraph 1 Char,List A Char,bullet Char,Dot 1 Char,Thang2 Char,Level 2 Char"/>
    <w:link w:val="ListParagraph"/>
    <w:uiPriority w:val="34"/>
    <w:qFormat/>
    <w:rsid w:val="00660664"/>
    <w:rPr>
      <w:rFonts w:ascii="Calibri" w:eastAsia="Calibri" w:hAnsi="Calibri" w:cs="Calibri"/>
    </w:rPr>
  </w:style>
  <w:style w:type="paragraph" w:customStyle="1" w:styleId="CharCharCharChar">
    <w:name w:val="Char Char Char Char"/>
    <w:basedOn w:val="Normal"/>
    <w:rsid w:val="00660664"/>
    <w:pPr>
      <w:pageBreakBefore/>
      <w:spacing w:before="100" w:beforeAutospacing="1" w:after="100" w:afterAutospacing="1" w:line="240" w:lineRule="auto"/>
    </w:pPr>
    <w:rPr>
      <w:rFonts w:ascii="Tahoma" w:eastAsia="Times New Roman" w:hAnsi="Tahoma" w:cs="Tahoma"/>
      <w:color w:val="0000FF"/>
      <w:sz w:val="20"/>
      <w:szCs w:val="20"/>
    </w:rPr>
  </w:style>
  <w:style w:type="paragraph" w:styleId="FootnoteText">
    <w:name w:val="footnote text"/>
    <w:basedOn w:val="Normal"/>
    <w:link w:val="FootnoteTextChar"/>
    <w:uiPriority w:val="99"/>
    <w:semiHidden/>
    <w:unhideWhenUsed/>
    <w:rsid w:val="00D35F01"/>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semiHidden/>
    <w:rsid w:val="00D35F01"/>
    <w:rPr>
      <w:rFonts w:ascii="Times New Roman" w:eastAsia="Times New Roman" w:hAnsi="Times New Roman" w:cs="Times New Roman"/>
      <w:sz w:val="20"/>
      <w:szCs w:val="20"/>
      <w:lang w:eastAsia="ar-SA"/>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 BVI fnr,10 p,f,SUPERS,f1,Re,10,R"/>
    <w:uiPriority w:val="99"/>
    <w:unhideWhenUsed/>
    <w:qFormat/>
    <w:rsid w:val="00D35F01"/>
    <w:rPr>
      <w:vertAlign w:val="superscript"/>
    </w:rPr>
  </w:style>
  <w:style w:type="paragraph" w:styleId="BalloonText">
    <w:name w:val="Balloon Text"/>
    <w:basedOn w:val="Normal"/>
    <w:link w:val="BalloonTextChar"/>
    <w:uiPriority w:val="99"/>
    <w:semiHidden/>
    <w:unhideWhenUsed/>
    <w:rsid w:val="001274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463"/>
    <w:rPr>
      <w:rFonts w:ascii="Tahoma" w:eastAsia="Calibri" w:hAnsi="Tahoma" w:cs="Tahoma"/>
      <w:sz w:val="16"/>
      <w:szCs w:val="16"/>
    </w:rPr>
  </w:style>
  <w:style w:type="paragraph" w:styleId="Header">
    <w:name w:val="header"/>
    <w:basedOn w:val="Normal"/>
    <w:link w:val="HeaderChar"/>
    <w:uiPriority w:val="99"/>
    <w:rsid w:val="00A10A1A"/>
    <w:pPr>
      <w:tabs>
        <w:tab w:val="center" w:pos="4320"/>
        <w:tab w:val="right" w:pos="8640"/>
      </w:tabs>
      <w:spacing w:after="0" w:line="240" w:lineRule="auto"/>
    </w:pPr>
    <w:rPr>
      <w:rFonts w:ascii="VNI-Aptima" w:eastAsia="Times New Roman" w:hAnsi="VNI-Aptima" w:cs="Times New Roman"/>
      <w:szCs w:val="20"/>
      <w:lang w:val="x-none" w:eastAsia="x-none"/>
    </w:rPr>
  </w:style>
  <w:style w:type="character" w:customStyle="1" w:styleId="HeaderChar">
    <w:name w:val="Header Char"/>
    <w:basedOn w:val="DefaultParagraphFont"/>
    <w:link w:val="Header"/>
    <w:uiPriority w:val="99"/>
    <w:rsid w:val="00A10A1A"/>
    <w:rPr>
      <w:rFonts w:ascii="VNI-Aptima" w:eastAsia="Times New Roman" w:hAnsi="VNI-Aptima" w:cs="Times New Roman"/>
      <w:szCs w:val="20"/>
      <w:lang w:val="x-none" w:eastAsia="x-none"/>
    </w:rPr>
  </w:style>
  <w:style w:type="paragraph" w:styleId="BodyText">
    <w:name w:val="Body Text"/>
    <w:basedOn w:val="Normal"/>
    <w:link w:val="BodyTextChar"/>
    <w:rsid w:val="00710758"/>
    <w:pPr>
      <w:suppressAutoHyphens/>
      <w:spacing w:after="0" w:line="240" w:lineRule="auto"/>
      <w:jc w:val="both"/>
    </w:pPr>
    <w:rPr>
      <w:rFonts w:ascii="VNI-Times" w:eastAsia="Times New Roman" w:hAnsi="VNI-Times" w:cs="Times New Roman"/>
      <w:sz w:val="24"/>
      <w:szCs w:val="20"/>
      <w:lang w:eastAsia="ar-SA"/>
    </w:rPr>
  </w:style>
  <w:style w:type="character" w:customStyle="1" w:styleId="BodyTextChar">
    <w:name w:val="Body Text Char"/>
    <w:basedOn w:val="DefaultParagraphFont"/>
    <w:link w:val="BodyText"/>
    <w:rsid w:val="00710758"/>
    <w:rPr>
      <w:rFonts w:ascii="VNI-Times" w:eastAsia="Times New Roman" w:hAnsi="VNI-Times" w:cs="Times New Roman"/>
      <w:sz w:val="24"/>
      <w:szCs w:val="20"/>
      <w:lang w:eastAsia="ar-SA"/>
    </w:rPr>
  </w:style>
  <w:style w:type="paragraph" w:customStyle="1" w:styleId="table0020grid">
    <w:name w:val="table_0020grid"/>
    <w:basedOn w:val="Normal"/>
    <w:rsid w:val="005B1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le0020gridchar">
    <w:name w:val="table_0020grid__char"/>
    <w:basedOn w:val="DefaultParagraphFont"/>
    <w:rsid w:val="005B1277"/>
  </w:style>
  <w:style w:type="paragraph" w:styleId="Footer">
    <w:name w:val="footer"/>
    <w:basedOn w:val="Normal"/>
    <w:link w:val="FooterChar"/>
    <w:uiPriority w:val="99"/>
    <w:unhideWhenUsed/>
    <w:rsid w:val="00914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4192"/>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570"/>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4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1,List A,bullet,Dot 1,Thang2,Level 2"/>
    <w:basedOn w:val="Normal"/>
    <w:link w:val="ListParagraphChar"/>
    <w:uiPriority w:val="34"/>
    <w:qFormat/>
    <w:rsid w:val="00660664"/>
    <w:pPr>
      <w:ind w:left="720"/>
      <w:contextualSpacing/>
    </w:pPr>
  </w:style>
  <w:style w:type="character" w:customStyle="1" w:styleId="ListParagraphChar">
    <w:name w:val="List Paragraph Char"/>
    <w:aliases w:val="List Paragraph 1 Char,List A Char,bullet Char,Dot 1 Char,Thang2 Char,Level 2 Char"/>
    <w:link w:val="ListParagraph"/>
    <w:uiPriority w:val="34"/>
    <w:qFormat/>
    <w:rsid w:val="00660664"/>
    <w:rPr>
      <w:rFonts w:ascii="Calibri" w:eastAsia="Calibri" w:hAnsi="Calibri" w:cs="Calibri"/>
    </w:rPr>
  </w:style>
  <w:style w:type="paragraph" w:customStyle="1" w:styleId="CharCharCharChar">
    <w:name w:val="Char Char Char Char"/>
    <w:basedOn w:val="Normal"/>
    <w:rsid w:val="00660664"/>
    <w:pPr>
      <w:pageBreakBefore/>
      <w:spacing w:before="100" w:beforeAutospacing="1" w:after="100" w:afterAutospacing="1" w:line="240" w:lineRule="auto"/>
    </w:pPr>
    <w:rPr>
      <w:rFonts w:ascii="Tahoma" w:eastAsia="Times New Roman" w:hAnsi="Tahoma" w:cs="Tahoma"/>
      <w:color w:val="0000FF"/>
      <w:sz w:val="20"/>
      <w:szCs w:val="20"/>
    </w:rPr>
  </w:style>
  <w:style w:type="paragraph" w:styleId="FootnoteText">
    <w:name w:val="footnote text"/>
    <w:basedOn w:val="Normal"/>
    <w:link w:val="FootnoteTextChar"/>
    <w:uiPriority w:val="99"/>
    <w:semiHidden/>
    <w:unhideWhenUsed/>
    <w:rsid w:val="00D35F01"/>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semiHidden/>
    <w:rsid w:val="00D35F01"/>
    <w:rPr>
      <w:rFonts w:ascii="Times New Roman" w:eastAsia="Times New Roman" w:hAnsi="Times New Roman" w:cs="Times New Roman"/>
      <w:sz w:val="20"/>
      <w:szCs w:val="20"/>
      <w:lang w:eastAsia="ar-SA"/>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 BVI fnr,10 p,f,SUPERS,f1,Re,10,R"/>
    <w:uiPriority w:val="99"/>
    <w:unhideWhenUsed/>
    <w:qFormat/>
    <w:rsid w:val="00D35F01"/>
    <w:rPr>
      <w:vertAlign w:val="superscript"/>
    </w:rPr>
  </w:style>
  <w:style w:type="paragraph" w:styleId="BalloonText">
    <w:name w:val="Balloon Text"/>
    <w:basedOn w:val="Normal"/>
    <w:link w:val="BalloonTextChar"/>
    <w:uiPriority w:val="99"/>
    <w:semiHidden/>
    <w:unhideWhenUsed/>
    <w:rsid w:val="001274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463"/>
    <w:rPr>
      <w:rFonts w:ascii="Tahoma" w:eastAsia="Calibri" w:hAnsi="Tahoma" w:cs="Tahoma"/>
      <w:sz w:val="16"/>
      <w:szCs w:val="16"/>
    </w:rPr>
  </w:style>
  <w:style w:type="paragraph" w:styleId="Header">
    <w:name w:val="header"/>
    <w:basedOn w:val="Normal"/>
    <w:link w:val="HeaderChar"/>
    <w:uiPriority w:val="99"/>
    <w:rsid w:val="00A10A1A"/>
    <w:pPr>
      <w:tabs>
        <w:tab w:val="center" w:pos="4320"/>
        <w:tab w:val="right" w:pos="8640"/>
      </w:tabs>
      <w:spacing w:after="0" w:line="240" w:lineRule="auto"/>
    </w:pPr>
    <w:rPr>
      <w:rFonts w:ascii="VNI-Aptima" w:eastAsia="Times New Roman" w:hAnsi="VNI-Aptima" w:cs="Times New Roman"/>
      <w:szCs w:val="20"/>
      <w:lang w:val="x-none" w:eastAsia="x-none"/>
    </w:rPr>
  </w:style>
  <w:style w:type="character" w:customStyle="1" w:styleId="HeaderChar">
    <w:name w:val="Header Char"/>
    <w:basedOn w:val="DefaultParagraphFont"/>
    <w:link w:val="Header"/>
    <w:uiPriority w:val="99"/>
    <w:rsid w:val="00A10A1A"/>
    <w:rPr>
      <w:rFonts w:ascii="VNI-Aptima" w:eastAsia="Times New Roman" w:hAnsi="VNI-Aptima" w:cs="Times New Roman"/>
      <w:szCs w:val="20"/>
      <w:lang w:val="x-none" w:eastAsia="x-none"/>
    </w:rPr>
  </w:style>
  <w:style w:type="paragraph" w:styleId="BodyText">
    <w:name w:val="Body Text"/>
    <w:basedOn w:val="Normal"/>
    <w:link w:val="BodyTextChar"/>
    <w:rsid w:val="00710758"/>
    <w:pPr>
      <w:suppressAutoHyphens/>
      <w:spacing w:after="0" w:line="240" w:lineRule="auto"/>
      <w:jc w:val="both"/>
    </w:pPr>
    <w:rPr>
      <w:rFonts w:ascii="VNI-Times" w:eastAsia="Times New Roman" w:hAnsi="VNI-Times" w:cs="Times New Roman"/>
      <w:sz w:val="24"/>
      <w:szCs w:val="20"/>
      <w:lang w:eastAsia="ar-SA"/>
    </w:rPr>
  </w:style>
  <w:style w:type="character" w:customStyle="1" w:styleId="BodyTextChar">
    <w:name w:val="Body Text Char"/>
    <w:basedOn w:val="DefaultParagraphFont"/>
    <w:link w:val="BodyText"/>
    <w:rsid w:val="00710758"/>
    <w:rPr>
      <w:rFonts w:ascii="VNI-Times" w:eastAsia="Times New Roman" w:hAnsi="VNI-Times" w:cs="Times New Roman"/>
      <w:sz w:val="24"/>
      <w:szCs w:val="20"/>
      <w:lang w:eastAsia="ar-SA"/>
    </w:rPr>
  </w:style>
  <w:style w:type="paragraph" w:customStyle="1" w:styleId="table0020grid">
    <w:name w:val="table_0020grid"/>
    <w:basedOn w:val="Normal"/>
    <w:rsid w:val="005B1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le0020gridchar">
    <w:name w:val="table_0020grid__char"/>
    <w:basedOn w:val="DefaultParagraphFont"/>
    <w:rsid w:val="005B1277"/>
  </w:style>
  <w:style w:type="paragraph" w:styleId="Footer">
    <w:name w:val="footer"/>
    <w:basedOn w:val="Normal"/>
    <w:link w:val="FooterChar"/>
    <w:uiPriority w:val="99"/>
    <w:unhideWhenUsed/>
    <w:rsid w:val="00914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419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535">
      <w:bodyDiv w:val="1"/>
      <w:marLeft w:val="0"/>
      <w:marRight w:val="0"/>
      <w:marTop w:val="0"/>
      <w:marBottom w:val="0"/>
      <w:divBdr>
        <w:top w:val="none" w:sz="0" w:space="0" w:color="auto"/>
        <w:left w:val="none" w:sz="0" w:space="0" w:color="auto"/>
        <w:bottom w:val="none" w:sz="0" w:space="0" w:color="auto"/>
        <w:right w:val="none" w:sz="0" w:space="0" w:color="auto"/>
      </w:divBdr>
    </w:div>
    <w:div w:id="26882251">
      <w:bodyDiv w:val="1"/>
      <w:marLeft w:val="0"/>
      <w:marRight w:val="0"/>
      <w:marTop w:val="0"/>
      <w:marBottom w:val="0"/>
      <w:divBdr>
        <w:top w:val="none" w:sz="0" w:space="0" w:color="auto"/>
        <w:left w:val="none" w:sz="0" w:space="0" w:color="auto"/>
        <w:bottom w:val="none" w:sz="0" w:space="0" w:color="auto"/>
        <w:right w:val="none" w:sz="0" w:space="0" w:color="auto"/>
      </w:divBdr>
    </w:div>
    <w:div w:id="37779209">
      <w:bodyDiv w:val="1"/>
      <w:marLeft w:val="0"/>
      <w:marRight w:val="0"/>
      <w:marTop w:val="0"/>
      <w:marBottom w:val="0"/>
      <w:divBdr>
        <w:top w:val="none" w:sz="0" w:space="0" w:color="auto"/>
        <w:left w:val="none" w:sz="0" w:space="0" w:color="auto"/>
        <w:bottom w:val="none" w:sz="0" w:space="0" w:color="auto"/>
        <w:right w:val="none" w:sz="0" w:space="0" w:color="auto"/>
      </w:divBdr>
    </w:div>
    <w:div w:id="93670328">
      <w:bodyDiv w:val="1"/>
      <w:marLeft w:val="0"/>
      <w:marRight w:val="0"/>
      <w:marTop w:val="0"/>
      <w:marBottom w:val="0"/>
      <w:divBdr>
        <w:top w:val="none" w:sz="0" w:space="0" w:color="auto"/>
        <w:left w:val="none" w:sz="0" w:space="0" w:color="auto"/>
        <w:bottom w:val="none" w:sz="0" w:space="0" w:color="auto"/>
        <w:right w:val="none" w:sz="0" w:space="0" w:color="auto"/>
      </w:divBdr>
    </w:div>
    <w:div w:id="126238523">
      <w:bodyDiv w:val="1"/>
      <w:marLeft w:val="0"/>
      <w:marRight w:val="0"/>
      <w:marTop w:val="0"/>
      <w:marBottom w:val="0"/>
      <w:divBdr>
        <w:top w:val="none" w:sz="0" w:space="0" w:color="auto"/>
        <w:left w:val="none" w:sz="0" w:space="0" w:color="auto"/>
        <w:bottom w:val="none" w:sz="0" w:space="0" w:color="auto"/>
        <w:right w:val="none" w:sz="0" w:space="0" w:color="auto"/>
      </w:divBdr>
    </w:div>
    <w:div w:id="126238731">
      <w:bodyDiv w:val="1"/>
      <w:marLeft w:val="0"/>
      <w:marRight w:val="0"/>
      <w:marTop w:val="0"/>
      <w:marBottom w:val="0"/>
      <w:divBdr>
        <w:top w:val="none" w:sz="0" w:space="0" w:color="auto"/>
        <w:left w:val="none" w:sz="0" w:space="0" w:color="auto"/>
        <w:bottom w:val="none" w:sz="0" w:space="0" w:color="auto"/>
        <w:right w:val="none" w:sz="0" w:space="0" w:color="auto"/>
      </w:divBdr>
    </w:div>
    <w:div w:id="143664777">
      <w:bodyDiv w:val="1"/>
      <w:marLeft w:val="0"/>
      <w:marRight w:val="0"/>
      <w:marTop w:val="0"/>
      <w:marBottom w:val="0"/>
      <w:divBdr>
        <w:top w:val="none" w:sz="0" w:space="0" w:color="auto"/>
        <w:left w:val="none" w:sz="0" w:space="0" w:color="auto"/>
        <w:bottom w:val="none" w:sz="0" w:space="0" w:color="auto"/>
        <w:right w:val="none" w:sz="0" w:space="0" w:color="auto"/>
      </w:divBdr>
    </w:div>
    <w:div w:id="187371964">
      <w:bodyDiv w:val="1"/>
      <w:marLeft w:val="0"/>
      <w:marRight w:val="0"/>
      <w:marTop w:val="0"/>
      <w:marBottom w:val="0"/>
      <w:divBdr>
        <w:top w:val="none" w:sz="0" w:space="0" w:color="auto"/>
        <w:left w:val="none" w:sz="0" w:space="0" w:color="auto"/>
        <w:bottom w:val="none" w:sz="0" w:space="0" w:color="auto"/>
        <w:right w:val="none" w:sz="0" w:space="0" w:color="auto"/>
      </w:divBdr>
    </w:div>
    <w:div w:id="221841181">
      <w:bodyDiv w:val="1"/>
      <w:marLeft w:val="0"/>
      <w:marRight w:val="0"/>
      <w:marTop w:val="0"/>
      <w:marBottom w:val="0"/>
      <w:divBdr>
        <w:top w:val="none" w:sz="0" w:space="0" w:color="auto"/>
        <w:left w:val="none" w:sz="0" w:space="0" w:color="auto"/>
        <w:bottom w:val="none" w:sz="0" w:space="0" w:color="auto"/>
        <w:right w:val="none" w:sz="0" w:space="0" w:color="auto"/>
      </w:divBdr>
    </w:div>
    <w:div w:id="224921731">
      <w:bodyDiv w:val="1"/>
      <w:marLeft w:val="0"/>
      <w:marRight w:val="0"/>
      <w:marTop w:val="0"/>
      <w:marBottom w:val="0"/>
      <w:divBdr>
        <w:top w:val="none" w:sz="0" w:space="0" w:color="auto"/>
        <w:left w:val="none" w:sz="0" w:space="0" w:color="auto"/>
        <w:bottom w:val="none" w:sz="0" w:space="0" w:color="auto"/>
        <w:right w:val="none" w:sz="0" w:space="0" w:color="auto"/>
      </w:divBdr>
    </w:div>
    <w:div w:id="225066841">
      <w:bodyDiv w:val="1"/>
      <w:marLeft w:val="0"/>
      <w:marRight w:val="0"/>
      <w:marTop w:val="0"/>
      <w:marBottom w:val="0"/>
      <w:divBdr>
        <w:top w:val="none" w:sz="0" w:space="0" w:color="auto"/>
        <w:left w:val="none" w:sz="0" w:space="0" w:color="auto"/>
        <w:bottom w:val="none" w:sz="0" w:space="0" w:color="auto"/>
        <w:right w:val="none" w:sz="0" w:space="0" w:color="auto"/>
      </w:divBdr>
    </w:div>
    <w:div w:id="241960610">
      <w:bodyDiv w:val="1"/>
      <w:marLeft w:val="0"/>
      <w:marRight w:val="0"/>
      <w:marTop w:val="0"/>
      <w:marBottom w:val="0"/>
      <w:divBdr>
        <w:top w:val="none" w:sz="0" w:space="0" w:color="auto"/>
        <w:left w:val="none" w:sz="0" w:space="0" w:color="auto"/>
        <w:bottom w:val="none" w:sz="0" w:space="0" w:color="auto"/>
        <w:right w:val="none" w:sz="0" w:space="0" w:color="auto"/>
      </w:divBdr>
    </w:div>
    <w:div w:id="250546970">
      <w:bodyDiv w:val="1"/>
      <w:marLeft w:val="0"/>
      <w:marRight w:val="0"/>
      <w:marTop w:val="0"/>
      <w:marBottom w:val="0"/>
      <w:divBdr>
        <w:top w:val="none" w:sz="0" w:space="0" w:color="auto"/>
        <w:left w:val="none" w:sz="0" w:space="0" w:color="auto"/>
        <w:bottom w:val="none" w:sz="0" w:space="0" w:color="auto"/>
        <w:right w:val="none" w:sz="0" w:space="0" w:color="auto"/>
      </w:divBdr>
    </w:div>
    <w:div w:id="288048351">
      <w:bodyDiv w:val="1"/>
      <w:marLeft w:val="0"/>
      <w:marRight w:val="0"/>
      <w:marTop w:val="0"/>
      <w:marBottom w:val="0"/>
      <w:divBdr>
        <w:top w:val="none" w:sz="0" w:space="0" w:color="auto"/>
        <w:left w:val="none" w:sz="0" w:space="0" w:color="auto"/>
        <w:bottom w:val="none" w:sz="0" w:space="0" w:color="auto"/>
        <w:right w:val="none" w:sz="0" w:space="0" w:color="auto"/>
      </w:divBdr>
    </w:div>
    <w:div w:id="321542612">
      <w:bodyDiv w:val="1"/>
      <w:marLeft w:val="0"/>
      <w:marRight w:val="0"/>
      <w:marTop w:val="0"/>
      <w:marBottom w:val="0"/>
      <w:divBdr>
        <w:top w:val="none" w:sz="0" w:space="0" w:color="auto"/>
        <w:left w:val="none" w:sz="0" w:space="0" w:color="auto"/>
        <w:bottom w:val="none" w:sz="0" w:space="0" w:color="auto"/>
        <w:right w:val="none" w:sz="0" w:space="0" w:color="auto"/>
      </w:divBdr>
    </w:div>
    <w:div w:id="351497096">
      <w:bodyDiv w:val="1"/>
      <w:marLeft w:val="0"/>
      <w:marRight w:val="0"/>
      <w:marTop w:val="0"/>
      <w:marBottom w:val="0"/>
      <w:divBdr>
        <w:top w:val="none" w:sz="0" w:space="0" w:color="auto"/>
        <w:left w:val="none" w:sz="0" w:space="0" w:color="auto"/>
        <w:bottom w:val="none" w:sz="0" w:space="0" w:color="auto"/>
        <w:right w:val="none" w:sz="0" w:space="0" w:color="auto"/>
      </w:divBdr>
    </w:div>
    <w:div w:id="373895888">
      <w:bodyDiv w:val="1"/>
      <w:marLeft w:val="0"/>
      <w:marRight w:val="0"/>
      <w:marTop w:val="0"/>
      <w:marBottom w:val="0"/>
      <w:divBdr>
        <w:top w:val="none" w:sz="0" w:space="0" w:color="auto"/>
        <w:left w:val="none" w:sz="0" w:space="0" w:color="auto"/>
        <w:bottom w:val="none" w:sz="0" w:space="0" w:color="auto"/>
        <w:right w:val="none" w:sz="0" w:space="0" w:color="auto"/>
      </w:divBdr>
    </w:div>
    <w:div w:id="395665782">
      <w:bodyDiv w:val="1"/>
      <w:marLeft w:val="0"/>
      <w:marRight w:val="0"/>
      <w:marTop w:val="0"/>
      <w:marBottom w:val="0"/>
      <w:divBdr>
        <w:top w:val="none" w:sz="0" w:space="0" w:color="auto"/>
        <w:left w:val="none" w:sz="0" w:space="0" w:color="auto"/>
        <w:bottom w:val="none" w:sz="0" w:space="0" w:color="auto"/>
        <w:right w:val="none" w:sz="0" w:space="0" w:color="auto"/>
      </w:divBdr>
    </w:div>
    <w:div w:id="406345517">
      <w:bodyDiv w:val="1"/>
      <w:marLeft w:val="0"/>
      <w:marRight w:val="0"/>
      <w:marTop w:val="0"/>
      <w:marBottom w:val="0"/>
      <w:divBdr>
        <w:top w:val="none" w:sz="0" w:space="0" w:color="auto"/>
        <w:left w:val="none" w:sz="0" w:space="0" w:color="auto"/>
        <w:bottom w:val="none" w:sz="0" w:space="0" w:color="auto"/>
        <w:right w:val="none" w:sz="0" w:space="0" w:color="auto"/>
      </w:divBdr>
    </w:div>
    <w:div w:id="457070611">
      <w:bodyDiv w:val="1"/>
      <w:marLeft w:val="0"/>
      <w:marRight w:val="0"/>
      <w:marTop w:val="0"/>
      <w:marBottom w:val="0"/>
      <w:divBdr>
        <w:top w:val="none" w:sz="0" w:space="0" w:color="auto"/>
        <w:left w:val="none" w:sz="0" w:space="0" w:color="auto"/>
        <w:bottom w:val="none" w:sz="0" w:space="0" w:color="auto"/>
        <w:right w:val="none" w:sz="0" w:space="0" w:color="auto"/>
      </w:divBdr>
    </w:div>
    <w:div w:id="461045997">
      <w:bodyDiv w:val="1"/>
      <w:marLeft w:val="0"/>
      <w:marRight w:val="0"/>
      <w:marTop w:val="0"/>
      <w:marBottom w:val="0"/>
      <w:divBdr>
        <w:top w:val="none" w:sz="0" w:space="0" w:color="auto"/>
        <w:left w:val="none" w:sz="0" w:space="0" w:color="auto"/>
        <w:bottom w:val="none" w:sz="0" w:space="0" w:color="auto"/>
        <w:right w:val="none" w:sz="0" w:space="0" w:color="auto"/>
      </w:divBdr>
    </w:div>
    <w:div w:id="464930132">
      <w:bodyDiv w:val="1"/>
      <w:marLeft w:val="0"/>
      <w:marRight w:val="0"/>
      <w:marTop w:val="0"/>
      <w:marBottom w:val="0"/>
      <w:divBdr>
        <w:top w:val="none" w:sz="0" w:space="0" w:color="auto"/>
        <w:left w:val="none" w:sz="0" w:space="0" w:color="auto"/>
        <w:bottom w:val="none" w:sz="0" w:space="0" w:color="auto"/>
        <w:right w:val="none" w:sz="0" w:space="0" w:color="auto"/>
      </w:divBdr>
    </w:div>
    <w:div w:id="482812629">
      <w:bodyDiv w:val="1"/>
      <w:marLeft w:val="0"/>
      <w:marRight w:val="0"/>
      <w:marTop w:val="0"/>
      <w:marBottom w:val="0"/>
      <w:divBdr>
        <w:top w:val="none" w:sz="0" w:space="0" w:color="auto"/>
        <w:left w:val="none" w:sz="0" w:space="0" w:color="auto"/>
        <w:bottom w:val="none" w:sz="0" w:space="0" w:color="auto"/>
        <w:right w:val="none" w:sz="0" w:space="0" w:color="auto"/>
      </w:divBdr>
    </w:div>
    <w:div w:id="611740415">
      <w:bodyDiv w:val="1"/>
      <w:marLeft w:val="0"/>
      <w:marRight w:val="0"/>
      <w:marTop w:val="0"/>
      <w:marBottom w:val="0"/>
      <w:divBdr>
        <w:top w:val="none" w:sz="0" w:space="0" w:color="auto"/>
        <w:left w:val="none" w:sz="0" w:space="0" w:color="auto"/>
        <w:bottom w:val="none" w:sz="0" w:space="0" w:color="auto"/>
        <w:right w:val="none" w:sz="0" w:space="0" w:color="auto"/>
      </w:divBdr>
    </w:div>
    <w:div w:id="621303943">
      <w:bodyDiv w:val="1"/>
      <w:marLeft w:val="0"/>
      <w:marRight w:val="0"/>
      <w:marTop w:val="0"/>
      <w:marBottom w:val="0"/>
      <w:divBdr>
        <w:top w:val="none" w:sz="0" w:space="0" w:color="auto"/>
        <w:left w:val="none" w:sz="0" w:space="0" w:color="auto"/>
        <w:bottom w:val="none" w:sz="0" w:space="0" w:color="auto"/>
        <w:right w:val="none" w:sz="0" w:space="0" w:color="auto"/>
      </w:divBdr>
    </w:div>
    <w:div w:id="637076389">
      <w:bodyDiv w:val="1"/>
      <w:marLeft w:val="0"/>
      <w:marRight w:val="0"/>
      <w:marTop w:val="0"/>
      <w:marBottom w:val="0"/>
      <w:divBdr>
        <w:top w:val="none" w:sz="0" w:space="0" w:color="auto"/>
        <w:left w:val="none" w:sz="0" w:space="0" w:color="auto"/>
        <w:bottom w:val="none" w:sz="0" w:space="0" w:color="auto"/>
        <w:right w:val="none" w:sz="0" w:space="0" w:color="auto"/>
      </w:divBdr>
    </w:div>
    <w:div w:id="684356938">
      <w:bodyDiv w:val="1"/>
      <w:marLeft w:val="0"/>
      <w:marRight w:val="0"/>
      <w:marTop w:val="0"/>
      <w:marBottom w:val="0"/>
      <w:divBdr>
        <w:top w:val="none" w:sz="0" w:space="0" w:color="auto"/>
        <w:left w:val="none" w:sz="0" w:space="0" w:color="auto"/>
        <w:bottom w:val="none" w:sz="0" w:space="0" w:color="auto"/>
        <w:right w:val="none" w:sz="0" w:space="0" w:color="auto"/>
      </w:divBdr>
    </w:div>
    <w:div w:id="713702539">
      <w:bodyDiv w:val="1"/>
      <w:marLeft w:val="0"/>
      <w:marRight w:val="0"/>
      <w:marTop w:val="0"/>
      <w:marBottom w:val="0"/>
      <w:divBdr>
        <w:top w:val="none" w:sz="0" w:space="0" w:color="auto"/>
        <w:left w:val="none" w:sz="0" w:space="0" w:color="auto"/>
        <w:bottom w:val="none" w:sz="0" w:space="0" w:color="auto"/>
        <w:right w:val="none" w:sz="0" w:space="0" w:color="auto"/>
      </w:divBdr>
    </w:div>
    <w:div w:id="744568428">
      <w:bodyDiv w:val="1"/>
      <w:marLeft w:val="0"/>
      <w:marRight w:val="0"/>
      <w:marTop w:val="0"/>
      <w:marBottom w:val="0"/>
      <w:divBdr>
        <w:top w:val="none" w:sz="0" w:space="0" w:color="auto"/>
        <w:left w:val="none" w:sz="0" w:space="0" w:color="auto"/>
        <w:bottom w:val="none" w:sz="0" w:space="0" w:color="auto"/>
        <w:right w:val="none" w:sz="0" w:space="0" w:color="auto"/>
      </w:divBdr>
    </w:div>
    <w:div w:id="767038881">
      <w:bodyDiv w:val="1"/>
      <w:marLeft w:val="0"/>
      <w:marRight w:val="0"/>
      <w:marTop w:val="0"/>
      <w:marBottom w:val="0"/>
      <w:divBdr>
        <w:top w:val="none" w:sz="0" w:space="0" w:color="auto"/>
        <w:left w:val="none" w:sz="0" w:space="0" w:color="auto"/>
        <w:bottom w:val="none" w:sz="0" w:space="0" w:color="auto"/>
        <w:right w:val="none" w:sz="0" w:space="0" w:color="auto"/>
      </w:divBdr>
    </w:div>
    <w:div w:id="806433612">
      <w:bodyDiv w:val="1"/>
      <w:marLeft w:val="0"/>
      <w:marRight w:val="0"/>
      <w:marTop w:val="0"/>
      <w:marBottom w:val="0"/>
      <w:divBdr>
        <w:top w:val="none" w:sz="0" w:space="0" w:color="auto"/>
        <w:left w:val="none" w:sz="0" w:space="0" w:color="auto"/>
        <w:bottom w:val="none" w:sz="0" w:space="0" w:color="auto"/>
        <w:right w:val="none" w:sz="0" w:space="0" w:color="auto"/>
      </w:divBdr>
    </w:div>
    <w:div w:id="822047516">
      <w:bodyDiv w:val="1"/>
      <w:marLeft w:val="0"/>
      <w:marRight w:val="0"/>
      <w:marTop w:val="0"/>
      <w:marBottom w:val="0"/>
      <w:divBdr>
        <w:top w:val="none" w:sz="0" w:space="0" w:color="auto"/>
        <w:left w:val="none" w:sz="0" w:space="0" w:color="auto"/>
        <w:bottom w:val="none" w:sz="0" w:space="0" w:color="auto"/>
        <w:right w:val="none" w:sz="0" w:space="0" w:color="auto"/>
      </w:divBdr>
    </w:div>
    <w:div w:id="854073002">
      <w:bodyDiv w:val="1"/>
      <w:marLeft w:val="0"/>
      <w:marRight w:val="0"/>
      <w:marTop w:val="0"/>
      <w:marBottom w:val="0"/>
      <w:divBdr>
        <w:top w:val="none" w:sz="0" w:space="0" w:color="auto"/>
        <w:left w:val="none" w:sz="0" w:space="0" w:color="auto"/>
        <w:bottom w:val="none" w:sz="0" w:space="0" w:color="auto"/>
        <w:right w:val="none" w:sz="0" w:space="0" w:color="auto"/>
      </w:divBdr>
    </w:div>
    <w:div w:id="885064894">
      <w:bodyDiv w:val="1"/>
      <w:marLeft w:val="0"/>
      <w:marRight w:val="0"/>
      <w:marTop w:val="0"/>
      <w:marBottom w:val="0"/>
      <w:divBdr>
        <w:top w:val="none" w:sz="0" w:space="0" w:color="auto"/>
        <w:left w:val="none" w:sz="0" w:space="0" w:color="auto"/>
        <w:bottom w:val="none" w:sz="0" w:space="0" w:color="auto"/>
        <w:right w:val="none" w:sz="0" w:space="0" w:color="auto"/>
      </w:divBdr>
    </w:div>
    <w:div w:id="897324330">
      <w:bodyDiv w:val="1"/>
      <w:marLeft w:val="0"/>
      <w:marRight w:val="0"/>
      <w:marTop w:val="0"/>
      <w:marBottom w:val="0"/>
      <w:divBdr>
        <w:top w:val="none" w:sz="0" w:space="0" w:color="auto"/>
        <w:left w:val="none" w:sz="0" w:space="0" w:color="auto"/>
        <w:bottom w:val="none" w:sz="0" w:space="0" w:color="auto"/>
        <w:right w:val="none" w:sz="0" w:space="0" w:color="auto"/>
      </w:divBdr>
    </w:div>
    <w:div w:id="899176417">
      <w:bodyDiv w:val="1"/>
      <w:marLeft w:val="0"/>
      <w:marRight w:val="0"/>
      <w:marTop w:val="0"/>
      <w:marBottom w:val="0"/>
      <w:divBdr>
        <w:top w:val="none" w:sz="0" w:space="0" w:color="auto"/>
        <w:left w:val="none" w:sz="0" w:space="0" w:color="auto"/>
        <w:bottom w:val="none" w:sz="0" w:space="0" w:color="auto"/>
        <w:right w:val="none" w:sz="0" w:space="0" w:color="auto"/>
      </w:divBdr>
    </w:div>
    <w:div w:id="978533992">
      <w:bodyDiv w:val="1"/>
      <w:marLeft w:val="0"/>
      <w:marRight w:val="0"/>
      <w:marTop w:val="0"/>
      <w:marBottom w:val="0"/>
      <w:divBdr>
        <w:top w:val="none" w:sz="0" w:space="0" w:color="auto"/>
        <w:left w:val="none" w:sz="0" w:space="0" w:color="auto"/>
        <w:bottom w:val="none" w:sz="0" w:space="0" w:color="auto"/>
        <w:right w:val="none" w:sz="0" w:space="0" w:color="auto"/>
      </w:divBdr>
    </w:div>
    <w:div w:id="980306858">
      <w:bodyDiv w:val="1"/>
      <w:marLeft w:val="0"/>
      <w:marRight w:val="0"/>
      <w:marTop w:val="0"/>
      <w:marBottom w:val="0"/>
      <w:divBdr>
        <w:top w:val="none" w:sz="0" w:space="0" w:color="auto"/>
        <w:left w:val="none" w:sz="0" w:space="0" w:color="auto"/>
        <w:bottom w:val="none" w:sz="0" w:space="0" w:color="auto"/>
        <w:right w:val="none" w:sz="0" w:space="0" w:color="auto"/>
      </w:divBdr>
    </w:div>
    <w:div w:id="985009821">
      <w:bodyDiv w:val="1"/>
      <w:marLeft w:val="0"/>
      <w:marRight w:val="0"/>
      <w:marTop w:val="0"/>
      <w:marBottom w:val="0"/>
      <w:divBdr>
        <w:top w:val="none" w:sz="0" w:space="0" w:color="auto"/>
        <w:left w:val="none" w:sz="0" w:space="0" w:color="auto"/>
        <w:bottom w:val="none" w:sz="0" w:space="0" w:color="auto"/>
        <w:right w:val="none" w:sz="0" w:space="0" w:color="auto"/>
      </w:divBdr>
    </w:div>
    <w:div w:id="1009598204">
      <w:bodyDiv w:val="1"/>
      <w:marLeft w:val="0"/>
      <w:marRight w:val="0"/>
      <w:marTop w:val="0"/>
      <w:marBottom w:val="0"/>
      <w:divBdr>
        <w:top w:val="none" w:sz="0" w:space="0" w:color="auto"/>
        <w:left w:val="none" w:sz="0" w:space="0" w:color="auto"/>
        <w:bottom w:val="none" w:sz="0" w:space="0" w:color="auto"/>
        <w:right w:val="none" w:sz="0" w:space="0" w:color="auto"/>
      </w:divBdr>
    </w:div>
    <w:div w:id="1013990633">
      <w:bodyDiv w:val="1"/>
      <w:marLeft w:val="0"/>
      <w:marRight w:val="0"/>
      <w:marTop w:val="0"/>
      <w:marBottom w:val="0"/>
      <w:divBdr>
        <w:top w:val="none" w:sz="0" w:space="0" w:color="auto"/>
        <w:left w:val="none" w:sz="0" w:space="0" w:color="auto"/>
        <w:bottom w:val="none" w:sz="0" w:space="0" w:color="auto"/>
        <w:right w:val="none" w:sz="0" w:space="0" w:color="auto"/>
      </w:divBdr>
    </w:div>
    <w:div w:id="1027220027">
      <w:bodyDiv w:val="1"/>
      <w:marLeft w:val="0"/>
      <w:marRight w:val="0"/>
      <w:marTop w:val="0"/>
      <w:marBottom w:val="0"/>
      <w:divBdr>
        <w:top w:val="none" w:sz="0" w:space="0" w:color="auto"/>
        <w:left w:val="none" w:sz="0" w:space="0" w:color="auto"/>
        <w:bottom w:val="none" w:sz="0" w:space="0" w:color="auto"/>
        <w:right w:val="none" w:sz="0" w:space="0" w:color="auto"/>
      </w:divBdr>
    </w:div>
    <w:div w:id="1048602283">
      <w:bodyDiv w:val="1"/>
      <w:marLeft w:val="0"/>
      <w:marRight w:val="0"/>
      <w:marTop w:val="0"/>
      <w:marBottom w:val="0"/>
      <w:divBdr>
        <w:top w:val="none" w:sz="0" w:space="0" w:color="auto"/>
        <w:left w:val="none" w:sz="0" w:space="0" w:color="auto"/>
        <w:bottom w:val="none" w:sz="0" w:space="0" w:color="auto"/>
        <w:right w:val="none" w:sz="0" w:space="0" w:color="auto"/>
      </w:divBdr>
    </w:div>
    <w:div w:id="1090002943">
      <w:bodyDiv w:val="1"/>
      <w:marLeft w:val="0"/>
      <w:marRight w:val="0"/>
      <w:marTop w:val="0"/>
      <w:marBottom w:val="0"/>
      <w:divBdr>
        <w:top w:val="none" w:sz="0" w:space="0" w:color="auto"/>
        <w:left w:val="none" w:sz="0" w:space="0" w:color="auto"/>
        <w:bottom w:val="none" w:sz="0" w:space="0" w:color="auto"/>
        <w:right w:val="none" w:sz="0" w:space="0" w:color="auto"/>
      </w:divBdr>
    </w:div>
    <w:div w:id="1097825793">
      <w:bodyDiv w:val="1"/>
      <w:marLeft w:val="0"/>
      <w:marRight w:val="0"/>
      <w:marTop w:val="0"/>
      <w:marBottom w:val="0"/>
      <w:divBdr>
        <w:top w:val="none" w:sz="0" w:space="0" w:color="auto"/>
        <w:left w:val="none" w:sz="0" w:space="0" w:color="auto"/>
        <w:bottom w:val="none" w:sz="0" w:space="0" w:color="auto"/>
        <w:right w:val="none" w:sz="0" w:space="0" w:color="auto"/>
      </w:divBdr>
    </w:div>
    <w:div w:id="1116949165">
      <w:bodyDiv w:val="1"/>
      <w:marLeft w:val="0"/>
      <w:marRight w:val="0"/>
      <w:marTop w:val="0"/>
      <w:marBottom w:val="0"/>
      <w:divBdr>
        <w:top w:val="none" w:sz="0" w:space="0" w:color="auto"/>
        <w:left w:val="none" w:sz="0" w:space="0" w:color="auto"/>
        <w:bottom w:val="none" w:sz="0" w:space="0" w:color="auto"/>
        <w:right w:val="none" w:sz="0" w:space="0" w:color="auto"/>
      </w:divBdr>
    </w:div>
    <w:div w:id="1137643229">
      <w:bodyDiv w:val="1"/>
      <w:marLeft w:val="0"/>
      <w:marRight w:val="0"/>
      <w:marTop w:val="0"/>
      <w:marBottom w:val="0"/>
      <w:divBdr>
        <w:top w:val="none" w:sz="0" w:space="0" w:color="auto"/>
        <w:left w:val="none" w:sz="0" w:space="0" w:color="auto"/>
        <w:bottom w:val="none" w:sz="0" w:space="0" w:color="auto"/>
        <w:right w:val="none" w:sz="0" w:space="0" w:color="auto"/>
      </w:divBdr>
    </w:div>
    <w:div w:id="1153138370">
      <w:bodyDiv w:val="1"/>
      <w:marLeft w:val="0"/>
      <w:marRight w:val="0"/>
      <w:marTop w:val="0"/>
      <w:marBottom w:val="0"/>
      <w:divBdr>
        <w:top w:val="none" w:sz="0" w:space="0" w:color="auto"/>
        <w:left w:val="none" w:sz="0" w:space="0" w:color="auto"/>
        <w:bottom w:val="none" w:sz="0" w:space="0" w:color="auto"/>
        <w:right w:val="none" w:sz="0" w:space="0" w:color="auto"/>
      </w:divBdr>
    </w:div>
    <w:div w:id="1185169188">
      <w:bodyDiv w:val="1"/>
      <w:marLeft w:val="0"/>
      <w:marRight w:val="0"/>
      <w:marTop w:val="0"/>
      <w:marBottom w:val="0"/>
      <w:divBdr>
        <w:top w:val="none" w:sz="0" w:space="0" w:color="auto"/>
        <w:left w:val="none" w:sz="0" w:space="0" w:color="auto"/>
        <w:bottom w:val="none" w:sz="0" w:space="0" w:color="auto"/>
        <w:right w:val="none" w:sz="0" w:space="0" w:color="auto"/>
      </w:divBdr>
    </w:div>
    <w:div w:id="1187865626">
      <w:bodyDiv w:val="1"/>
      <w:marLeft w:val="0"/>
      <w:marRight w:val="0"/>
      <w:marTop w:val="0"/>
      <w:marBottom w:val="0"/>
      <w:divBdr>
        <w:top w:val="none" w:sz="0" w:space="0" w:color="auto"/>
        <w:left w:val="none" w:sz="0" w:space="0" w:color="auto"/>
        <w:bottom w:val="none" w:sz="0" w:space="0" w:color="auto"/>
        <w:right w:val="none" w:sz="0" w:space="0" w:color="auto"/>
      </w:divBdr>
    </w:div>
    <w:div w:id="1201672679">
      <w:bodyDiv w:val="1"/>
      <w:marLeft w:val="0"/>
      <w:marRight w:val="0"/>
      <w:marTop w:val="0"/>
      <w:marBottom w:val="0"/>
      <w:divBdr>
        <w:top w:val="none" w:sz="0" w:space="0" w:color="auto"/>
        <w:left w:val="none" w:sz="0" w:space="0" w:color="auto"/>
        <w:bottom w:val="none" w:sz="0" w:space="0" w:color="auto"/>
        <w:right w:val="none" w:sz="0" w:space="0" w:color="auto"/>
      </w:divBdr>
    </w:div>
    <w:div w:id="1234244982">
      <w:bodyDiv w:val="1"/>
      <w:marLeft w:val="0"/>
      <w:marRight w:val="0"/>
      <w:marTop w:val="0"/>
      <w:marBottom w:val="0"/>
      <w:divBdr>
        <w:top w:val="none" w:sz="0" w:space="0" w:color="auto"/>
        <w:left w:val="none" w:sz="0" w:space="0" w:color="auto"/>
        <w:bottom w:val="none" w:sz="0" w:space="0" w:color="auto"/>
        <w:right w:val="none" w:sz="0" w:space="0" w:color="auto"/>
      </w:divBdr>
    </w:div>
    <w:div w:id="1269236050">
      <w:bodyDiv w:val="1"/>
      <w:marLeft w:val="0"/>
      <w:marRight w:val="0"/>
      <w:marTop w:val="0"/>
      <w:marBottom w:val="0"/>
      <w:divBdr>
        <w:top w:val="none" w:sz="0" w:space="0" w:color="auto"/>
        <w:left w:val="none" w:sz="0" w:space="0" w:color="auto"/>
        <w:bottom w:val="none" w:sz="0" w:space="0" w:color="auto"/>
        <w:right w:val="none" w:sz="0" w:space="0" w:color="auto"/>
      </w:divBdr>
    </w:div>
    <w:div w:id="1271426591">
      <w:bodyDiv w:val="1"/>
      <w:marLeft w:val="0"/>
      <w:marRight w:val="0"/>
      <w:marTop w:val="0"/>
      <w:marBottom w:val="0"/>
      <w:divBdr>
        <w:top w:val="none" w:sz="0" w:space="0" w:color="auto"/>
        <w:left w:val="none" w:sz="0" w:space="0" w:color="auto"/>
        <w:bottom w:val="none" w:sz="0" w:space="0" w:color="auto"/>
        <w:right w:val="none" w:sz="0" w:space="0" w:color="auto"/>
      </w:divBdr>
    </w:div>
    <w:div w:id="1272857909">
      <w:bodyDiv w:val="1"/>
      <w:marLeft w:val="0"/>
      <w:marRight w:val="0"/>
      <w:marTop w:val="0"/>
      <w:marBottom w:val="0"/>
      <w:divBdr>
        <w:top w:val="none" w:sz="0" w:space="0" w:color="auto"/>
        <w:left w:val="none" w:sz="0" w:space="0" w:color="auto"/>
        <w:bottom w:val="none" w:sz="0" w:space="0" w:color="auto"/>
        <w:right w:val="none" w:sz="0" w:space="0" w:color="auto"/>
      </w:divBdr>
    </w:div>
    <w:div w:id="1295941591">
      <w:bodyDiv w:val="1"/>
      <w:marLeft w:val="0"/>
      <w:marRight w:val="0"/>
      <w:marTop w:val="0"/>
      <w:marBottom w:val="0"/>
      <w:divBdr>
        <w:top w:val="none" w:sz="0" w:space="0" w:color="auto"/>
        <w:left w:val="none" w:sz="0" w:space="0" w:color="auto"/>
        <w:bottom w:val="none" w:sz="0" w:space="0" w:color="auto"/>
        <w:right w:val="none" w:sz="0" w:space="0" w:color="auto"/>
      </w:divBdr>
    </w:div>
    <w:div w:id="1330675287">
      <w:bodyDiv w:val="1"/>
      <w:marLeft w:val="0"/>
      <w:marRight w:val="0"/>
      <w:marTop w:val="0"/>
      <w:marBottom w:val="0"/>
      <w:divBdr>
        <w:top w:val="none" w:sz="0" w:space="0" w:color="auto"/>
        <w:left w:val="none" w:sz="0" w:space="0" w:color="auto"/>
        <w:bottom w:val="none" w:sz="0" w:space="0" w:color="auto"/>
        <w:right w:val="none" w:sz="0" w:space="0" w:color="auto"/>
      </w:divBdr>
    </w:div>
    <w:div w:id="1335570891">
      <w:bodyDiv w:val="1"/>
      <w:marLeft w:val="0"/>
      <w:marRight w:val="0"/>
      <w:marTop w:val="0"/>
      <w:marBottom w:val="0"/>
      <w:divBdr>
        <w:top w:val="none" w:sz="0" w:space="0" w:color="auto"/>
        <w:left w:val="none" w:sz="0" w:space="0" w:color="auto"/>
        <w:bottom w:val="none" w:sz="0" w:space="0" w:color="auto"/>
        <w:right w:val="none" w:sz="0" w:space="0" w:color="auto"/>
      </w:divBdr>
    </w:div>
    <w:div w:id="1362196780">
      <w:bodyDiv w:val="1"/>
      <w:marLeft w:val="0"/>
      <w:marRight w:val="0"/>
      <w:marTop w:val="0"/>
      <w:marBottom w:val="0"/>
      <w:divBdr>
        <w:top w:val="none" w:sz="0" w:space="0" w:color="auto"/>
        <w:left w:val="none" w:sz="0" w:space="0" w:color="auto"/>
        <w:bottom w:val="none" w:sz="0" w:space="0" w:color="auto"/>
        <w:right w:val="none" w:sz="0" w:space="0" w:color="auto"/>
      </w:divBdr>
    </w:div>
    <w:div w:id="1369179645">
      <w:bodyDiv w:val="1"/>
      <w:marLeft w:val="0"/>
      <w:marRight w:val="0"/>
      <w:marTop w:val="0"/>
      <w:marBottom w:val="0"/>
      <w:divBdr>
        <w:top w:val="none" w:sz="0" w:space="0" w:color="auto"/>
        <w:left w:val="none" w:sz="0" w:space="0" w:color="auto"/>
        <w:bottom w:val="none" w:sz="0" w:space="0" w:color="auto"/>
        <w:right w:val="none" w:sz="0" w:space="0" w:color="auto"/>
      </w:divBdr>
    </w:div>
    <w:div w:id="1370488989">
      <w:bodyDiv w:val="1"/>
      <w:marLeft w:val="0"/>
      <w:marRight w:val="0"/>
      <w:marTop w:val="0"/>
      <w:marBottom w:val="0"/>
      <w:divBdr>
        <w:top w:val="none" w:sz="0" w:space="0" w:color="auto"/>
        <w:left w:val="none" w:sz="0" w:space="0" w:color="auto"/>
        <w:bottom w:val="none" w:sz="0" w:space="0" w:color="auto"/>
        <w:right w:val="none" w:sz="0" w:space="0" w:color="auto"/>
      </w:divBdr>
    </w:div>
    <w:div w:id="1371340984">
      <w:bodyDiv w:val="1"/>
      <w:marLeft w:val="0"/>
      <w:marRight w:val="0"/>
      <w:marTop w:val="0"/>
      <w:marBottom w:val="0"/>
      <w:divBdr>
        <w:top w:val="none" w:sz="0" w:space="0" w:color="auto"/>
        <w:left w:val="none" w:sz="0" w:space="0" w:color="auto"/>
        <w:bottom w:val="none" w:sz="0" w:space="0" w:color="auto"/>
        <w:right w:val="none" w:sz="0" w:space="0" w:color="auto"/>
      </w:divBdr>
    </w:div>
    <w:div w:id="1374429345">
      <w:bodyDiv w:val="1"/>
      <w:marLeft w:val="0"/>
      <w:marRight w:val="0"/>
      <w:marTop w:val="0"/>
      <w:marBottom w:val="0"/>
      <w:divBdr>
        <w:top w:val="none" w:sz="0" w:space="0" w:color="auto"/>
        <w:left w:val="none" w:sz="0" w:space="0" w:color="auto"/>
        <w:bottom w:val="none" w:sz="0" w:space="0" w:color="auto"/>
        <w:right w:val="none" w:sz="0" w:space="0" w:color="auto"/>
      </w:divBdr>
    </w:div>
    <w:div w:id="1398094232">
      <w:bodyDiv w:val="1"/>
      <w:marLeft w:val="0"/>
      <w:marRight w:val="0"/>
      <w:marTop w:val="0"/>
      <w:marBottom w:val="0"/>
      <w:divBdr>
        <w:top w:val="none" w:sz="0" w:space="0" w:color="auto"/>
        <w:left w:val="none" w:sz="0" w:space="0" w:color="auto"/>
        <w:bottom w:val="none" w:sz="0" w:space="0" w:color="auto"/>
        <w:right w:val="none" w:sz="0" w:space="0" w:color="auto"/>
      </w:divBdr>
    </w:div>
    <w:div w:id="1401053973">
      <w:bodyDiv w:val="1"/>
      <w:marLeft w:val="0"/>
      <w:marRight w:val="0"/>
      <w:marTop w:val="0"/>
      <w:marBottom w:val="0"/>
      <w:divBdr>
        <w:top w:val="none" w:sz="0" w:space="0" w:color="auto"/>
        <w:left w:val="none" w:sz="0" w:space="0" w:color="auto"/>
        <w:bottom w:val="none" w:sz="0" w:space="0" w:color="auto"/>
        <w:right w:val="none" w:sz="0" w:space="0" w:color="auto"/>
      </w:divBdr>
    </w:div>
    <w:div w:id="1406682409">
      <w:bodyDiv w:val="1"/>
      <w:marLeft w:val="0"/>
      <w:marRight w:val="0"/>
      <w:marTop w:val="0"/>
      <w:marBottom w:val="0"/>
      <w:divBdr>
        <w:top w:val="none" w:sz="0" w:space="0" w:color="auto"/>
        <w:left w:val="none" w:sz="0" w:space="0" w:color="auto"/>
        <w:bottom w:val="none" w:sz="0" w:space="0" w:color="auto"/>
        <w:right w:val="none" w:sz="0" w:space="0" w:color="auto"/>
      </w:divBdr>
    </w:div>
    <w:div w:id="1415282553">
      <w:bodyDiv w:val="1"/>
      <w:marLeft w:val="0"/>
      <w:marRight w:val="0"/>
      <w:marTop w:val="0"/>
      <w:marBottom w:val="0"/>
      <w:divBdr>
        <w:top w:val="none" w:sz="0" w:space="0" w:color="auto"/>
        <w:left w:val="none" w:sz="0" w:space="0" w:color="auto"/>
        <w:bottom w:val="none" w:sz="0" w:space="0" w:color="auto"/>
        <w:right w:val="none" w:sz="0" w:space="0" w:color="auto"/>
      </w:divBdr>
    </w:div>
    <w:div w:id="1428384322">
      <w:bodyDiv w:val="1"/>
      <w:marLeft w:val="0"/>
      <w:marRight w:val="0"/>
      <w:marTop w:val="0"/>
      <w:marBottom w:val="0"/>
      <w:divBdr>
        <w:top w:val="none" w:sz="0" w:space="0" w:color="auto"/>
        <w:left w:val="none" w:sz="0" w:space="0" w:color="auto"/>
        <w:bottom w:val="none" w:sz="0" w:space="0" w:color="auto"/>
        <w:right w:val="none" w:sz="0" w:space="0" w:color="auto"/>
      </w:divBdr>
    </w:div>
    <w:div w:id="1455707029">
      <w:bodyDiv w:val="1"/>
      <w:marLeft w:val="0"/>
      <w:marRight w:val="0"/>
      <w:marTop w:val="0"/>
      <w:marBottom w:val="0"/>
      <w:divBdr>
        <w:top w:val="none" w:sz="0" w:space="0" w:color="auto"/>
        <w:left w:val="none" w:sz="0" w:space="0" w:color="auto"/>
        <w:bottom w:val="none" w:sz="0" w:space="0" w:color="auto"/>
        <w:right w:val="none" w:sz="0" w:space="0" w:color="auto"/>
      </w:divBdr>
    </w:div>
    <w:div w:id="1461530005">
      <w:bodyDiv w:val="1"/>
      <w:marLeft w:val="0"/>
      <w:marRight w:val="0"/>
      <w:marTop w:val="0"/>
      <w:marBottom w:val="0"/>
      <w:divBdr>
        <w:top w:val="none" w:sz="0" w:space="0" w:color="auto"/>
        <w:left w:val="none" w:sz="0" w:space="0" w:color="auto"/>
        <w:bottom w:val="none" w:sz="0" w:space="0" w:color="auto"/>
        <w:right w:val="none" w:sz="0" w:space="0" w:color="auto"/>
      </w:divBdr>
    </w:div>
    <w:div w:id="1467698577">
      <w:bodyDiv w:val="1"/>
      <w:marLeft w:val="0"/>
      <w:marRight w:val="0"/>
      <w:marTop w:val="0"/>
      <w:marBottom w:val="0"/>
      <w:divBdr>
        <w:top w:val="none" w:sz="0" w:space="0" w:color="auto"/>
        <w:left w:val="none" w:sz="0" w:space="0" w:color="auto"/>
        <w:bottom w:val="none" w:sz="0" w:space="0" w:color="auto"/>
        <w:right w:val="none" w:sz="0" w:space="0" w:color="auto"/>
      </w:divBdr>
    </w:div>
    <w:div w:id="1498956171">
      <w:bodyDiv w:val="1"/>
      <w:marLeft w:val="0"/>
      <w:marRight w:val="0"/>
      <w:marTop w:val="0"/>
      <w:marBottom w:val="0"/>
      <w:divBdr>
        <w:top w:val="none" w:sz="0" w:space="0" w:color="auto"/>
        <w:left w:val="none" w:sz="0" w:space="0" w:color="auto"/>
        <w:bottom w:val="none" w:sz="0" w:space="0" w:color="auto"/>
        <w:right w:val="none" w:sz="0" w:space="0" w:color="auto"/>
      </w:divBdr>
    </w:div>
    <w:div w:id="1502164900">
      <w:bodyDiv w:val="1"/>
      <w:marLeft w:val="0"/>
      <w:marRight w:val="0"/>
      <w:marTop w:val="0"/>
      <w:marBottom w:val="0"/>
      <w:divBdr>
        <w:top w:val="none" w:sz="0" w:space="0" w:color="auto"/>
        <w:left w:val="none" w:sz="0" w:space="0" w:color="auto"/>
        <w:bottom w:val="none" w:sz="0" w:space="0" w:color="auto"/>
        <w:right w:val="none" w:sz="0" w:space="0" w:color="auto"/>
      </w:divBdr>
    </w:div>
    <w:div w:id="1556549961">
      <w:bodyDiv w:val="1"/>
      <w:marLeft w:val="0"/>
      <w:marRight w:val="0"/>
      <w:marTop w:val="0"/>
      <w:marBottom w:val="0"/>
      <w:divBdr>
        <w:top w:val="none" w:sz="0" w:space="0" w:color="auto"/>
        <w:left w:val="none" w:sz="0" w:space="0" w:color="auto"/>
        <w:bottom w:val="none" w:sz="0" w:space="0" w:color="auto"/>
        <w:right w:val="none" w:sz="0" w:space="0" w:color="auto"/>
      </w:divBdr>
    </w:div>
    <w:div w:id="1571304745">
      <w:bodyDiv w:val="1"/>
      <w:marLeft w:val="0"/>
      <w:marRight w:val="0"/>
      <w:marTop w:val="0"/>
      <w:marBottom w:val="0"/>
      <w:divBdr>
        <w:top w:val="none" w:sz="0" w:space="0" w:color="auto"/>
        <w:left w:val="none" w:sz="0" w:space="0" w:color="auto"/>
        <w:bottom w:val="none" w:sz="0" w:space="0" w:color="auto"/>
        <w:right w:val="none" w:sz="0" w:space="0" w:color="auto"/>
      </w:divBdr>
    </w:div>
    <w:div w:id="1580940107">
      <w:bodyDiv w:val="1"/>
      <w:marLeft w:val="0"/>
      <w:marRight w:val="0"/>
      <w:marTop w:val="0"/>
      <w:marBottom w:val="0"/>
      <w:divBdr>
        <w:top w:val="none" w:sz="0" w:space="0" w:color="auto"/>
        <w:left w:val="none" w:sz="0" w:space="0" w:color="auto"/>
        <w:bottom w:val="none" w:sz="0" w:space="0" w:color="auto"/>
        <w:right w:val="none" w:sz="0" w:space="0" w:color="auto"/>
      </w:divBdr>
    </w:div>
    <w:div w:id="1586037686">
      <w:bodyDiv w:val="1"/>
      <w:marLeft w:val="0"/>
      <w:marRight w:val="0"/>
      <w:marTop w:val="0"/>
      <w:marBottom w:val="0"/>
      <w:divBdr>
        <w:top w:val="none" w:sz="0" w:space="0" w:color="auto"/>
        <w:left w:val="none" w:sz="0" w:space="0" w:color="auto"/>
        <w:bottom w:val="none" w:sz="0" w:space="0" w:color="auto"/>
        <w:right w:val="none" w:sz="0" w:space="0" w:color="auto"/>
      </w:divBdr>
    </w:div>
    <w:div w:id="1602176031">
      <w:bodyDiv w:val="1"/>
      <w:marLeft w:val="0"/>
      <w:marRight w:val="0"/>
      <w:marTop w:val="0"/>
      <w:marBottom w:val="0"/>
      <w:divBdr>
        <w:top w:val="none" w:sz="0" w:space="0" w:color="auto"/>
        <w:left w:val="none" w:sz="0" w:space="0" w:color="auto"/>
        <w:bottom w:val="none" w:sz="0" w:space="0" w:color="auto"/>
        <w:right w:val="none" w:sz="0" w:space="0" w:color="auto"/>
      </w:divBdr>
    </w:div>
    <w:div w:id="1603684842">
      <w:bodyDiv w:val="1"/>
      <w:marLeft w:val="0"/>
      <w:marRight w:val="0"/>
      <w:marTop w:val="0"/>
      <w:marBottom w:val="0"/>
      <w:divBdr>
        <w:top w:val="none" w:sz="0" w:space="0" w:color="auto"/>
        <w:left w:val="none" w:sz="0" w:space="0" w:color="auto"/>
        <w:bottom w:val="none" w:sz="0" w:space="0" w:color="auto"/>
        <w:right w:val="none" w:sz="0" w:space="0" w:color="auto"/>
      </w:divBdr>
    </w:div>
    <w:div w:id="1609854550">
      <w:bodyDiv w:val="1"/>
      <w:marLeft w:val="0"/>
      <w:marRight w:val="0"/>
      <w:marTop w:val="0"/>
      <w:marBottom w:val="0"/>
      <w:divBdr>
        <w:top w:val="none" w:sz="0" w:space="0" w:color="auto"/>
        <w:left w:val="none" w:sz="0" w:space="0" w:color="auto"/>
        <w:bottom w:val="none" w:sz="0" w:space="0" w:color="auto"/>
        <w:right w:val="none" w:sz="0" w:space="0" w:color="auto"/>
      </w:divBdr>
    </w:div>
    <w:div w:id="1630427917">
      <w:bodyDiv w:val="1"/>
      <w:marLeft w:val="0"/>
      <w:marRight w:val="0"/>
      <w:marTop w:val="0"/>
      <w:marBottom w:val="0"/>
      <w:divBdr>
        <w:top w:val="none" w:sz="0" w:space="0" w:color="auto"/>
        <w:left w:val="none" w:sz="0" w:space="0" w:color="auto"/>
        <w:bottom w:val="none" w:sz="0" w:space="0" w:color="auto"/>
        <w:right w:val="none" w:sz="0" w:space="0" w:color="auto"/>
      </w:divBdr>
    </w:div>
    <w:div w:id="1632781638">
      <w:bodyDiv w:val="1"/>
      <w:marLeft w:val="0"/>
      <w:marRight w:val="0"/>
      <w:marTop w:val="0"/>
      <w:marBottom w:val="0"/>
      <w:divBdr>
        <w:top w:val="none" w:sz="0" w:space="0" w:color="auto"/>
        <w:left w:val="none" w:sz="0" w:space="0" w:color="auto"/>
        <w:bottom w:val="none" w:sz="0" w:space="0" w:color="auto"/>
        <w:right w:val="none" w:sz="0" w:space="0" w:color="auto"/>
      </w:divBdr>
    </w:div>
    <w:div w:id="1645431827">
      <w:bodyDiv w:val="1"/>
      <w:marLeft w:val="0"/>
      <w:marRight w:val="0"/>
      <w:marTop w:val="0"/>
      <w:marBottom w:val="0"/>
      <w:divBdr>
        <w:top w:val="none" w:sz="0" w:space="0" w:color="auto"/>
        <w:left w:val="none" w:sz="0" w:space="0" w:color="auto"/>
        <w:bottom w:val="none" w:sz="0" w:space="0" w:color="auto"/>
        <w:right w:val="none" w:sz="0" w:space="0" w:color="auto"/>
      </w:divBdr>
    </w:div>
    <w:div w:id="1682900740">
      <w:bodyDiv w:val="1"/>
      <w:marLeft w:val="0"/>
      <w:marRight w:val="0"/>
      <w:marTop w:val="0"/>
      <w:marBottom w:val="0"/>
      <w:divBdr>
        <w:top w:val="none" w:sz="0" w:space="0" w:color="auto"/>
        <w:left w:val="none" w:sz="0" w:space="0" w:color="auto"/>
        <w:bottom w:val="none" w:sz="0" w:space="0" w:color="auto"/>
        <w:right w:val="none" w:sz="0" w:space="0" w:color="auto"/>
      </w:divBdr>
    </w:div>
    <w:div w:id="1696151181">
      <w:bodyDiv w:val="1"/>
      <w:marLeft w:val="0"/>
      <w:marRight w:val="0"/>
      <w:marTop w:val="0"/>
      <w:marBottom w:val="0"/>
      <w:divBdr>
        <w:top w:val="none" w:sz="0" w:space="0" w:color="auto"/>
        <w:left w:val="none" w:sz="0" w:space="0" w:color="auto"/>
        <w:bottom w:val="none" w:sz="0" w:space="0" w:color="auto"/>
        <w:right w:val="none" w:sz="0" w:space="0" w:color="auto"/>
      </w:divBdr>
    </w:div>
    <w:div w:id="1710108078">
      <w:bodyDiv w:val="1"/>
      <w:marLeft w:val="0"/>
      <w:marRight w:val="0"/>
      <w:marTop w:val="0"/>
      <w:marBottom w:val="0"/>
      <w:divBdr>
        <w:top w:val="none" w:sz="0" w:space="0" w:color="auto"/>
        <w:left w:val="none" w:sz="0" w:space="0" w:color="auto"/>
        <w:bottom w:val="none" w:sz="0" w:space="0" w:color="auto"/>
        <w:right w:val="none" w:sz="0" w:space="0" w:color="auto"/>
      </w:divBdr>
    </w:div>
    <w:div w:id="1714619710">
      <w:bodyDiv w:val="1"/>
      <w:marLeft w:val="0"/>
      <w:marRight w:val="0"/>
      <w:marTop w:val="0"/>
      <w:marBottom w:val="0"/>
      <w:divBdr>
        <w:top w:val="none" w:sz="0" w:space="0" w:color="auto"/>
        <w:left w:val="none" w:sz="0" w:space="0" w:color="auto"/>
        <w:bottom w:val="none" w:sz="0" w:space="0" w:color="auto"/>
        <w:right w:val="none" w:sz="0" w:space="0" w:color="auto"/>
      </w:divBdr>
    </w:div>
    <w:div w:id="1768042050">
      <w:bodyDiv w:val="1"/>
      <w:marLeft w:val="0"/>
      <w:marRight w:val="0"/>
      <w:marTop w:val="0"/>
      <w:marBottom w:val="0"/>
      <w:divBdr>
        <w:top w:val="none" w:sz="0" w:space="0" w:color="auto"/>
        <w:left w:val="none" w:sz="0" w:space="0" w:color="auto"/>
        <w:bottom w:val="none" w:sz="0" w:space="0" w:color="auto"/>
        <w:right w:val="none" w:sz="0" w:space="0" w:color="auto"/>
      </w:divBdr>
    </w:div>
    <w:div w:id="1769500497">
      <w:bodyDiv w:val="1"/>
      <w:marLeft w:val="0"/>
      <w:marRight w:val="0"/>
      <w:marTop w:val="0"/>
      <w:marBottom w:val="0"/>
      <w:divBdr>
        <w:top w:val="none" w:sz="0" w:space="0" w:color="auto"/>
        <w:left w:val="none" w:sz="0" w:space="0" w:color="auto"/>
        <w:bottom w:val="none" w:sz="0" w:space="0" w:color="auto"/>
        <w:right w:val="none" w:sz="0" w:space="0" w:color="auto"/>
      </w:divBdr>
    </w:div>
    <w:div w:id="1795977798">
      <w:bodyDiv w:val="1"/>
      <w:marLeft w:val="0"/>
      <w:marRight w:val="0"/>
      <w:marTop w:val="0"/>
      <w:marBottom w:val="0"/>
      <w:divBdr>
        <w:top w:val="none" w:sz="0" w:space="0" w:color="auto"/>
        <w:left w:val="none" w:sz="0" w:space="0" w:color="auto"/>
        <w:bottom w:val="none" w:sz="0" w:space="0" w:color="auto"/>
        <w:right w:val="none" w:sz="0" w:space="0" w:color="auto"/>
      </w:divBdr>
    </w:div>
    <w:div w:id="1802075241">
      <w:bodyDiv w:val="1"/>
      <w:marLeft w:val="0"/>
      <w:marRight w:val="0"/>
      <w:marTop w:val="0"/>
      <w:marBottom w:val="0"/>
      <w:divBdr>
        <w:top w:val="none" w:sz="0" w:space="0" w:color="auto"/>
        <w:left w:val="none" w:sz="0" w:space="0" w:color="auto"/>
        <w:bottom w:val="none" w:sz="0" w:space="0" w:color="auto"/>
        <w:right w:val="none" w:sz="0" w:space="0" w:color="auto"/>
      </w:divBdr>
    </w:div>
    <w:div w:id="1816951491">
      <w:bodyDiv w:val="1"/>
      <w:marLeft w:val="0"/>
      <w:marRight w:val="0"/>
      <w:marTop w:val="0"/>
      <w:marBottom w:val="0"/>
      <w:divBdr>
        <w:top w:val="none" w:sz="0" w:space="0" w:color="auto"/>
        <w:left w:val="none" w:sz="0" w:space="0" w:color="auto"/>
        <w:bottom w:val="none" w:sz="0" w:space="0" w:color="auto"/>
        <w:right w:val="none" w:sz="0" w:space="0" w:color="auto"/>
      </w:divBdr>
    </w:div>
    <w:div w:id="1838425048">
      <w:bodyDiv w:val="1"/>
      <w:marLeft w:val="0"/>
      <w:marRight w:val="0"/>
      <w:marTop w:val="0"/>
      <w:marBottom w:val="0"/>
      <w:divBdr>
        <w:top w:val="none" w:sz="0" w:space="0" w:color="auto"/>
        <w:left w:val="none" w:sz="0" w:space="0" w:color="auto"/>
        <w:bottom w:val="none" w:sz="0" w:space="0" w:color="auto"/>
        <w:right w:val="none" w:sz="0" w:space="0" w:color="auto"/>
      </w:divBdr>
    </w:div>
    <w:div w:id="1866820347">
      <w:bodyDiv w:val="1"/>
      <w:marLeft w:val="0"/>
      <w:marRight w:val="0"/>
      <w:marTop w:val="0"/>
      <w:marBottom w:val="0"/>
      <w:divBdr>
        <w:top w:val="none" w:sz="0" w:space="0" w:color="auto"/>
        <w:left w:val="none" w:sz="0" w:space="0" w:color="auto"/>
        <w:bottom w:val="none" w:sz="0" w:space="0" w:color="auto"/>
        <w:right w:val="none" w:sz="0" w:space="0" w:color="auto"/>
      </w:divBdr>
    </w:div>
    <w:div w:id="1890803950">
      <w:bodyDiv w:val="1"/>
      <w:marLeft w:val="0"/>
      <w:marRight w:val="0"/>
      <w:marTop w:val="0"/>
      <w:marBottom w:val="0"/>
      <w:divBdr>
        <w:top w:val="none" w:sz="0" w:space="0" w:color="auto"/>
        <w:left w:val="none" w:sz="0" w:space="0" w:color="auto"/>
        <w:bottom w:val="none" w:sz="0" w:space="0" w:color="auto"/>
        <w:right w:val="none" w:sz="0" w:space="0" w:color="auto"/>
      </w:divBdr>
    </w:div>
    <w:div w:id="1912883425">
      <w:bodyDiv w:val="1"/>
      <w:marLeft w:val="0"/>
      <w:marRight w:val="0"/>
      <w:marTop w:val="0"/>
      <w:marBottom w:val="0"/>
      <w:divBdr>
        <w:top w:val="none" w:sz="0" w:space="0" w:color="auto"/>
        <w:left w:val="none" w:sz="0" w:space="0" w:color="auto"/>
        <w:bottom w:val="none" w:sz="0" w:space="0" w:color="auto"/>
        <w:right w:val="none" w:sz="0" w:space="0" w:color="auto"/>
      </w:divBdr>
    </w:div>
    <w:div w:id="1929536475">
      <w:bodyDiv w:val="1"/>
      <w:marLeft w:val="0"/>
      <w:marRight w:val="0"/>
      <w:marTop w:val="0"/>
      <w:marBottom w:val="0"/>
      <w:divBdr>
        <w:top w:val="none" w:sz="0" w:space="0" w:color="auto"/>
        <w:left w:val="none" w:sz="0" w:space="0" w:color="auto"/>
        <w:bottom w:val="none" w:sz="0" w:space="0" w:color="auto"/>
        <w:right w:val="none" w:sz="0" w:space="0" w:color="auto"/>
      </w:divBdr>
    </w:div>
    <w:div w:id="1930651263">
      <w:bodyDiv w:val="1"/>
      <w:marLeft w:val="0"/>
      <w:marRight w:val="0"/>
      <w:marTop w:val="0"/>
      <w:marBottom w:val="0"/>
      <w:divBdr>
        <w:top w:val="none" w:sz="0" w:space="0" w:color="auto"/>
        <w:left w:val="none" w:sz="0" w:space="0" w:color="auto"/>
        <w:bottom w:val="none" w:sz="0" w:space="0" w:color="auto"/>
        <w:right w:val="none" w:sz="0" w:space="0" w:color="auto"/>
      </w:divBdr>
    </w:div>
    <w:div w:id="1942180604">
      <w:bodyDiv w:val="1"/>
      <w:marLeft w:val="0"/>
      <w:marRight w:val="0"/>
      <w:marTop w:val="0"/>
      <w:marBottom w:val="0"/>
      <w:divBdr>
        <w:top w:val="none" w:sz="0" w:space="0" w:color="auto"/>
        <w:left w:val="none" w:sz="0" w:space="0" w:color="auto"/>
        <w:bottom w:val="none" w:sz="0" w:space="0" w:color="auto"/>
        <w:right w:val="none" w:sz="0" w:space="0" w:color="auto"/>
      </w:divBdr>
    </w:div>
    <w:div w:id="1969240990">
      <w:bodyDiv w:val="1"/>
      <w:marLeft w:val="0"/>
      <w:marRight w:val="0"/>
      <w:marTop w:val="0"/>
      <w:marBottom w:val="0"/>
      <w:divBdr>
        <w:top w:val="none" w:sz="0" w:space="0" w:color="auto"/>
        <w:left w:val="none" w:sz="0" w:space="0" w:color="auto"/>
        <w:bottom w:val="none" w:sz="0" w:space="0" w:color="auto"/>
        <w:right w:val="none" w:sz="0" w:space="0" w:color="auto"/>
      </w:divBdr>
    </w:div>
    <w:div w:id="1975870234">
      <w:bodyDiv w:val="1"/>
      <w:marLeft w:val="0"/>
      <w:marRight w:val="0"/>
      <w:marTop w:val="0"/>
      <w:marBottom w:val="0"/>
      <w:divBdr>
        <w:top w:val="none" w:sz="0" w:space="0" w:color="auto"/>
        <w:left w:val="none" w:sz="0" w:space="0" w:color="auto"/>
        <w:bottom w:val="none" w:sz="0" w:space="0" w:color="auto"/>
        <w:right w:val="none" w:sz="0" w:space="0" w:color="auto"/>
      </w:divBdr>
    </w:div>
    <w:div w:id="1983189925">
      <w:bodyDiv w:val="1"/>
      <w:marLeft w:val="0"/>
      <w:marRight w:val="0"/>
      <w:marTop w:val="0"/>
      <w:marBottom w:val="0"/>
      <w:divBdr>
        <w:top w:val="none" w:sz="0" w:space="0" w:color="auto"/>
        <w:left w:val="none" w:sz="0" w:space="0" w:color="auto"/>
        <w:bottom w:val="none" w:sz="0" w:space="0" w:color="auto"/>
        <w:right w:val="none" w:sz="0" w:space="0" w:color="auto"/>
      </w:divBdr>
    </w:div>
    <w:div w:id="2000843695">
      <w:bodyDiv w:val="1"/>
      <w:marLeft w:val="0"/>
      <w:marRight w:val="0"/>
      <w:marTop w:val="0"/>
      <w:marBottom w:val="0"/>
      <w:divBdr>
        <w:top w:val="none" w:sz="0" w:space="0" w:color="auto"/>
        <w:left w:val="none" w:sz="0" w:space="0" w:color="auto"/>
        <w:bottom w:val="none" w:sz="0" w:space="0" w:color="auto"/>
        <w:right w:val="none" w:sz="0" w:space="0" w:color="auto"/>
      </w:divBdr>
    </w:div>
    <w:div w:id="2009599334">
      <w:bodyDiv w:val="1"/>
      <w:marLeft w:val="0"/>
      <w:marRight w:val="0"/>
      <w:marTop w:val="0"/>
      <w:marBottom w:val="0"/>
      <w:divBdr>
        <w:top w:val="none" w:sz="0" w:space="0" w:color="auto"/>
        <w:left w:val="none" w:sz="0" w:space="0" w:color="auto"/>
        <w:bottom w:val="none" w:sz="0" w:space="0" w:color="auto"/>
        <w:right w:val="none" w:sz="0" w:space="0" w:color="auto"/>
      </w:divBdr>
    </w:div>
    <w:div w:id="2059358328">
      <w:bodyDiv w:val="1"/>
      <w:marLeft w:val="0"/>
      <w:marRight w:val="0"/>
      <w:marTop w:val="0"/>
      <w:marBottom w:val="0"/>
      <w:divBdr>
        <w:top w:val="none" w:sz="0" w:space="0" w:color="auto"/>
        <w:left w:val="none" w:sz="0" w:space="0" w:color="auto"/>
        <w:bottom w:val="none" w:sz="0" w:space="0" w:color="auto"/>
        <w:right w:val="none" w:sz="0" w:space="0" w:color="auto"/>
      </w:divBdr>
    </w:div>
    <w:div w:id="2074501919">
      <w:bodyDiv w:val="1"/>
      <w:marLeft w:val="0"/>
      <w:marRight w:val="0"/>
      <w:marTop w:val="0"/>
      <w:marBottom w:val="0"/>
      <w:divBdr>
        <w:top w:val="none" w:sz="0" w:space="0" w:color="auto"/>
        <w:left w:val="none" w:sz="0" w:space="0" w:color="auto"/>
        <w:bottom w:val="none" w:sz="0" w:space="0" w:color="auto"/>
        <w:right w:val="none" w:sz="0" w:space="0" w:color="auto"/>
      </w:divBdr>
    </w:div>
    <w:div w:id="212133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c01.safelinks.protection.outlook.com/?url=https%3A%2F%2Fthuvienphapluat.vn%2Fvan-ban%2Fke-toan-kiem-toan%2Fthong-tu-48-2019-tt-btc-huong-dan-trich-lap-va-xu-ly-cac-khoan-du-phong-giam-gia-hang-ton-kho-346536.aspx&amp;data=05%7C02%7Cnhungttp%40techcombank.com.vn%7C74a48db75ce44e7ed42808dc6f3fcd4a%7C2b300ee898e6406bbff8d8999885a4c3%7C0%7C0%7C638507567043027656%7CUnknown%7CTWFpbGZsb3d8eyJWIjoiMC4wLjAwMDAiLCJQIjoiV2luMzIiLCJBTiI6Ik1haWwiLCJXVCI6Mn0%3D%7C0%7C%7C%7C&amp;sdata=dZDFpur04%2B26A%2FK%2BG0kHE2qQvFbDeguU84bBVs04aTk%3D&amp;reserved=0" TargetMode="Externa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671C-5155-4BAD-8175-A569F80B3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73</Pages>
  <Words>27469</Words>
  <Characters>156579</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Tham Trang Nhung (TTGSNH)</dc:creator>
  <cp:lastModifiedBy>Nguyen Viet Anh (VP)</cp:lastModifiedBy>
  <cp:revision>69</cp:revision>
  <cp:lastPrinted>2024-05-30T10:40:00Z</cp:lastPrinted>
  <dcterms:created xsi:type="dcterms:W3CDTF">2024-06-07T07:25:00Z</dcterms:created>
  <dcterms:modified xsi:type="dcterms:W3CDTF">2024-06-13T08:49:00Z</dcterms:modified>
</cp:coreProperties>
</file>